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03328D" w14:textId="327AA97E" w:rsidR="00B0627C" w:rsidRPr="009F29FB" w:rsidRDefault="000206F7" w:rsidP="00B0627C">
      <w:pPr>
        <w:pStyle w:val="a5"/>
        <w:tabs>
          <w:tab w:val="right" w:pos="9639"/>
        </w:tabs>
        <w:rPr>
          <w:rFonts w:eastAsia="新細明體" w:cs="Arial"/>
          <w:noProof w:val="0"/>
          <w:color w:val="000000" w:themeColor="text1"/>
          <w:sz w:val="24"/>
          <w:szCs w:val="24"/>
          <w:lang w:val="en-GB" w:eastAsia="zh-TW"/>
        </w:rPr>
      </w:pPr>
      <w:bookmarkStart w:id="0" w:name="OLE_LINK103"/>
      <w:bookmarkStart w:id="1" w:name="OLE_LINK104"/>
      <w:r w:rsidRPr="002455EC">
        <w:rPr>
          <w:sz w:val="24"/>
        </w:rPr>
        <w:t xml:space="preserve">3GPP </w:t>
      </w:r>
      <w:r w:rsidR="00CA7125">
        <w:rPr>
          <w:sz w:val="24"/>
        </w:rPr>
        <w:t>TSG RAN WG1 Meeting RAN1 #99</w:t>
      </w:r>
      <w:r w:rsidRPr="00B86062" w:rsidDel="000206F7">
        <w:rPr>
          <w:rFonts w:cs="Arial"/>
          <w:bCs/>
          <w:noProof w:val="0"/>
          <w:sz w:val="24"/>
          <w:szCs w:val="24"/>
          <w:lang w:val="en-GB"/>
        </w:rPr>
        <w:t xml:space="preserve"> </w:t>
      </w:r>
      <w:r w:rsidR="00155619">
        <w:rPr>
          <w:rFonts w:cs="Arial"/>
          <w:bCs/>
          <w:noProof w:val="0"/>
          <w:sz w:val="24"/>
          <w:szCs w:val="24"/>
          <w:lang w:val="en-GB"/>
        </w:rPr>
        <w:tab/>
      </w:r>
      <w:r w:rsidR="00F60450">
        <w:rPr>
          <w:rFonts w:cs="Arial"/>
          <w:noProof w:val="0"/>
          <w:color w:val="000000" w:themeColor="text1"/>
          <w:sz w:val="24"/>
          <w:szCs w:val="24"/>
          <w:lang w:val="en-GB"/>
        </w:rPr>
        <w:t>R1-1912101</w:t>
      </w:r>
      <w:r w:rsidR="00155619">
        <w:rPr>
          <w:rFonts w:cs="Arial"/>
          <w:noProof w:val="0"/>
          <w:color w:val="000000" w:themeColor="text1"/>
          <w:sz w:val="24"/>
          <w:szCs w:val="24"/>
          <w:lang w:val="en-GB"/>
        </w:rPr>
        <w:t xml:space="preserve"> </w:t>
      </w:r>
    </w:p>
    <w:p w14:paraId="7EACD73C" w14:textId="5BC4F9CF" w:rsidR="00D11401" w:rsidRDefault="0099307A" w:rsidP="00D11401">
      <w:pPr>
        <w:pStyle w:val="a5"/>
        <w:tabs>
          <w:tab w:val="right" w:pos="9639"/>
        </w:tabs>
        <w:rPr>
          <w:b w:val="0"/>
          <w:sz w:val="24"/>
        </w:rPr>
      </w:pPr>
      <w:r>
        <w:rPr>
          <w:sz w:val="24"/>
        </w:rPr>
        <w:t>Reno</w:t>
      </w:r>
      <w:r w:rsidR="00D11401" w:rsidRPr="00944A45">
        <w:rPr>
          <w:sz w:val="24"/>
        </w:rPr>
        <w:t xml:space="preserve">, </w:t>
      </w:r>
      <w:r>
        <w:rPr>
          <w:sz w:val="24"/>
        </w:rPr>
        <w:t>U.S.A.</w:t>
      </w:r>
      <w:r w:rsidR="00D11401">
        <w:rPr>
          <w:sz w:val="24"/>
        </w:rPr>
        <w:t>,</w:t>
      </w:r>
      <w:r w:rsidR="00D11401" w:rsidRPr="009A1AEC">
        <w:rPr>
          <w:sz w:val="24"/>
        </w:rPr>
        <w:t xml:space="preserve"> </w:t>
      </w:r>
      <w:r w:rsidR="00D11401">
        <w:rPr>
          <w:sz w:val="24"/>
        </w:rPr>
        <w:t>1</w:t>
      </w:r>
      <w:r>
        <w:rPr>
          <w:sz w:val="24"/>
        </w:rPr>
        <w:t>8</w:t>
      </w:r>
      <w:r w:rsidR="00D11401" w:rsidRPr="009A1AEC">
        <w:rPr>
          <w:sz w:val="24"/>
          <w:vertAlign w:val="superscript"/>
        </w:rPr>
        <w:t>th</w:t>
      </w:r>
      <w:r w:rsidR="00D11401" w:rsidRPr="009A1AEC">
        <w:rPr>
          <w:sz w:val="24"/>
        </w:rPr>
        <w:t xml:space="preserve"> – </w:t>
      </w:r>
      <w:r w:rsidR="000206F7">
        <w:rPr>
          <w:sz w:val="24"/>
        </w:rPr>
        <w:t>2</w:t>
      </w:r>
      <w:r>
        <w:rPr>
          <w:sz w:val="24"/>
        </w:rPr>
        <w:t>2</w:t>
      </w:r>
      <w:r>
        <w:rPr>
          <w:sz w:val="24"/>
          <w:vertAlign w:val="superscript"/>
        </w:rPr>
        <w:t>nd</w:t>
      </w:r>
      <w:r w:rsidR="00D11401" w:rsidRPr="009A1AEC">
        <w:rPr>
          <w:sz w:val="24"/>
        </w:rPr>
        <w:t xml:space="preserve"> </w:t>
      </w:r>
      <w:r>
        <w:rPr>
          <w:sz w:val="24"/>
        </w:rPr>
        <w:t>Nov</w:t>
      </w:r>
      <w:r w:rsidR="00D11401">
        <w:rPr>
          <w:sz w:val="24"/>
        </w:rPr>
        <w:t>.</w:t>
      </w:r>
      <w:r w:rsidR="00D11401" w:rsidRPr="009A1AEC">
        <w:rPr>
          <w:sz w:val="24"/>
        </w:rPr>
        <w:t xml:space="preserve">, 2019        </w:t>
      </w:r>
      <w:r w:rsidR="00155619">
        <w:rPr>
          <w:sz w:val="24"/>
        </w:rPr>
        <w:tab/>
      </w:r>
    </w:p>
    <w:p w14:paraId="6D49E8AF" w14:textId="1C7C2E4C" w:rsidR="00B0627C" w:rsidRPr="00155619" w:rsidRDefault="00B0627C" w:rsidP="00155619">
      <w:pPr>
        <w:pStyle w:val="CRCoverPage"/>
        <w:tabs>
          <w:tab w:val="right" w:pos="9639"/>
        </w:tabs>
        <w:spacing w:after="0"/>
        <w:rPr>
          <w:b/>
          <w:noProof/>
          <w:sz w:val="24"/>
        </w:rPr>
      </w:pPr>
      <w:r w:rsidRPr="009A1AEC">
        <w:rPr>
          <w:b/>
          <w:noProof/>
          <w:sz w:val="24"/>
        </w:rPr>
        <w:t xml:space="preserve">      </w:t>
      </w:r>
    </w:p>
    <w:p w14:paraId="477077A9" w14:textId="356F896C" w:rsidR="00B0627C" w:rsidRPr="009F29FB" w:rsidRDefault="00B0627C" w:rsidP="00B0627C">
      <w:pPr>
        <w:pStyle w:val="CRCoverPage"/>
        <w:rPr>
          <w:rFonts w:eastAsia="新細明體" w:cs="Arial"/>
          <w:b/>
          <w:bCs/>
          <w:color w:val="000000" w:themeColor="text1"/>
          <w:sz w:val="24"/>
          <w:lang w:eastAsia="zh-TW"/>
        </w:rPr>
      </w:pPr>
      <w:r w:rsidRPr="009F29FB">
        <w:rPr>
          <w:rFonts w:cs="Arial"/>
          <w:b/>
          <w:bCs/>
          <w:color w:val="000000" w:themeColor="text1"/>
          <w:sz w:val="24"/>
        </w:rPr>
        <w:t>Agenda item:</w:t>
      </w:r>
      <w:r w:rsidRPr="009F29FB">
        <w:rPr>
          <w:rFonts w:cs="Arial"/>
          <w:b/>
          <w:bCs/>
          <w:color w:val="000000" w:themeColor="text1"/>
          <w:sz w:val="24"/>
        </w:rPr>
        <w:tab/>
      </w:r>
      <w:r w:rsidRPr="009F29FB">
        <w:rPr>
          <w:rFonts w:cs="Arial"/>
          <w:b/>
          <w:bCs/>
          <w:color w:val="000000" w:themeColor="text1"/>
          <w:sz w:val="24"/>
        </w:rPr>
        <w:tab/>
      </w:r>
      <w:r w:rsidR="000206F7" w:rsidRPr="000206F7">
        <w:rPr>
          <w:rFonts w:cs="Arial"/>
          <w:b/>
          <w:bCs/>
          <w:color w:val="000000" w:themeColor="text1"/>
          <w:sz w:val="24"/>
        </w:rPr>
        <w:t>7.2.13.3</w:t>
      </w:r>
    </w:p>
    <w:p w14:paraId="40AB726D" w14:textId="77777777" w:rsidR="00B0627C" w:rsidRPr="009F29FB" w:rsidRDefault="00B0627C" w:rsidP="00B0627C">
      <w:pPr>
        <w:tabs>
          <w:tab w:val="left" w:pos="1985"/>
        </w:tabs>
        <w:ind w:left="1985" w:hanging="1985"/>
        <w:rPr>
          <w:rFonts w:ascii="Arial" w:hAnsi="Arial" w:cs="Arial"/>
          <w:b/>
          <w:bCs/>
          <w:color w:val="000000" w:themeColor="text1"/>
        </w:rPr>
      </w:pPr>
      <w:r w:rsidRPr="009F29FB">
        <w:rPr>
          <w:rFonts w:ascii="Arial" w:hAnsi="Arial" w:cs="Arial"/>
          <w:b/>
          <w:bCs/>
          <w:color w:val="000000" w:themeColor="text1"/>
        </w:rPr>
        <w:t>Source:</w:t>
      </w:r>
      <w:r w:rsidRPr="009F29FB">
        <w:rPr>
          <w:rFonts w:ascii="Arial" w:hAnsi="Arial" w:cs="Arial"/>
          <w:b/>
          <w:bCs/>
          <w:color w:val="000000" w:themeColor="text1"/>
        </w:rPr>
        <w:tab/>
        <w:t xml:space="preserve">MediaTek Inc. </w:t>
      </w:r>
    </w:p>
    <w:p w14:paraId="0C5185E2" w14:textId="507DF9AA" w:rsidR="00B0627C" w:rsidRDefault="00B0627C" w:rsidP="00B0627C">
      <w:pPr>
        <w:ind w:left="1985" w:hanging="1985"/>
        <w:rPr>
          <w:rFonts w:ascii="Arial" w:hAnsi="Arial" w:cs="Arial"/>
          <w:b/>
          <w:bCs/>
          <w:color w:val="000000" w:themeColor="text1"/>
        </w:rPr>
      </w:pPr>
      <w:r w:rsidRPr="009F29FB">
        <w:rPr>
          <w:rFonts w:ascii="Arial" w:hAnsi="Arial" w:cs="Arial"/>
          <w:b/>
          <w:bCs/>
          <w:color w:val="000000" w:themeColor="text1"/>
        </w:rPr>
        <w:t>Title:</w:t>
      </w:r>
      <w:r w:rsidRPr="009F29FB">
        <w:rPr>
          <w:rFonts w:ascii="Arial" w:hAnsi="Arial" w:cs="Arial"/>
          <w:b/>
          <w:bCs/>
          <w:color w:val="000000" w:themeColor="text1"/>
        </w:rPr>
        <w:tab/>
      </w:r>
      <w:r w:rsidR="000206F7" w:rsidRPr="000206F7">
        <w:rPr>
          <w:rFonts w:ascii="Arial" w:hAnsi="Arial" w:cs="Arial"/>
          <w:b/>
          <w:bCs/>
          <w:color w:val="000000" w:themeColor="text1"/>
        </w:rPr>
        <w:t>Efficient and low latency SCell data transmission for NR CA</w:t>
      </w:r>
    </w:p>
    <w:p w14:paraId="40DB88B1" w14:textId="7E86A029" w:rsidR="00155619" w:rsidRPr="009656CE" w:rsidRDefault="00B0627C" w:rsidP="009656CE">
      <w:pPr>
        <w:ind w:left="1985" w:hanging="1985"/>
        <w:rPr>
          <w:rFonts w:ascii="Arial" w:hAnsi="Arial" w:cs="Arial"/>
          <w:b/>
          <w:bCs/>
          <w:color w:val="000000" w:themeColor="text1"/>
        </w:rPr>
      </w:pPr>
      <w:r w:rsidRPr="009F29FB">
        <w:rPr>
          <w:rFonts w:ascii="Arial" w:hAnsi="Arial" w:cs="Arial"/>
          <w:b/>
          <w:bCs/>
          <w:color w:val="000000" w:themeColor="text1"/>
        </w:rPr>
        <w:t>Document for:</w:t>
      </w:r>
      <w:r w:rsidRPr="009F29FB">
        <w:rPr>
          <w:rFonts w:ascii="Arial" w:hAnsi="Arial" w:cs="Arial"/>
          <w:b/>
          <w:bCs/>
          <w:color w:val="000000" w:themeColor="text1"/>
        </w:rPr>
        <w:tab/>
      </w:r>
      <w:r w:rsidRPr="009F29FB">
        <w:rPr>
          <w:rFonts w:ascii="Arial" w:hAnsi="Arial" w:cs="Arial"/>
          <w:b/>
          <w:bCs/>
          <w:color w:val="000000" w:themeColor="text1"/>
        </w:rPr>
        <w:tab/>
      </w:r>
      <w:r w:rsidRPr="00242B9F">
        <w:rPr>
          <w:rFonts w:ascii="Arial" w:hAnsi="Arial" w:cs="Arial"/>
          <w:b/>
          <w:bCs/>
          <w:color w:val="000000" w:themeColor="text1"/>
        </w:rPr>
        <w:t>D</w:t>
      </w:r>
      <w:r w:rsidRPr="009F29FB">
        <w:rPr>
          <w:rFonts w:ascii="Arial" w:hAnsi="Arial" w:cs="Arial"/>
          <w:b/>
          <w:bCs/>
          <w:color w:val="000000" w:themeColor="text1"/>
        </w:rPr>
        <w:t xml:space="preserve">iscussion </w:t>
      </w:r>
      <w:r w:rsidR="000206F7">
        <w:rPr>
          <w:rFonts w:ascii="Arial" w:hAnsi="Arial" w:cs="Arial"/>
          <w:b/>
          <w:bCs/>
          <w:color w:val="000000" w:themeColor="text1"/>
        </w:rPr>
        <w:t>and Decision</w:t>
      </w:r>
    </w:p>
    <w:p w14:paraId="7CF3C058" w14:textId="204A3D35" w:rsidR="00B0627C" w:rsidRPr="009F29FB" w:rsidRDefault="00B0627C" w:rsidP="00B0627C">
      <w:pPr>
        <w:pStyle w:val="1"/>
        <w:rPr>
          <w:rFonts w:eastAsia="新細明體" w:cs="Arial"/>
          <w:color w:val="000000" w:themeColor="text1"/>
          <w:lang w:eastAsia="zh-TW"/>
        </w:rPr>
      </w:pPr>
      <w:r w:rsidRPr="009F29FB">
        <w:rPr>
          <w:rFonts w:cs="Arial"/>
          <w:color w:val="000000" w:themeColor="text1"/>
        </w:rPr>
        <w:t>1</w:t>
      </w:r>
      <w:r w:rsidRPr="009F29FB">
        <w:rPr>
          <w:rFonts w:cs="Arial"/>
          <w:color w:val="000000" w:themeColor="text1"/>
        </w:rPr>
        <w:tab/>
        <w:t>Introduction</w:t>
      </w:r>
      <w:r w:rsidRPr="009F29FB">
        <w:rPr>
          <w:rFonts w:eastAsia="新細明體" w:cs="Arial"/>
          <w:color w:val="000000" w:themeColor="text1"/>
          <w:lang w:eastAsia="zh-TW"/>
        </w:rPr>
        <w:t xml:space="preserve"> </w:t>
      </w:r>
    </w:p>
    <w:p w14:paraId="29C49034" w14:textId="52D282E2" w:rsidR="006F76A7" w:rsidRDefault="006A1D97" w:rsidP="00B0627C">
      <w:pPr>
        <w:pStyle w:val="Doc-text2"/>
        <w:tabs>
          <w:tab w:val="left" w:pos="340"/>
        </w:tabs>
        <w:spacing w:before="120" w:after="120"/>
        <w:ind w:left="0" w:firstLine="0"/>
        <w:jc w:val="both"/>
        <w:rPr>
          <w:rFonts w:eastAsiaTheme="minorEastAsia" w:cs="Arial"/>
          <w:sz w:val="22"/>
          <w:lang w:eastAsia="zh-CN"/>
        </w:rPr>
      </w:pPr>
      <w:bookmarkStart w:id="2" w:name="OLE_LINK1"/>
      <w:bookmarkStart w:id="3" w:name="OLE_LINK2"/>
      <w:bookmarkStart w:id="4" w:name="OLE_LINK132"/>
      <w:bookmarkStart w:id="5" w:name="OLE_LINK133"/>
      <w:r w:rsidRPr="00331B87">
        <w:rPr>
          <w:rFonts w:eastAsiaTheme="minorEastAsia" w:cs="Arial"/>
          <w:noProof/>
          <w:sz w:val="22"/>
          <w:lang w:eastAsia="zh-CN"/>
        </w:rPr>
        <mc:AlternateContent>
          <mc:Choice Requires="wps">
            <w:drawing>
              <wp:anchor distT="0" distB="0" distL="114300" distR="114300" simplePos="0" relativeHeight="251660288" behindDoc="0" locked="0" layoutInCell="1" allowOverlap="1" wp14:anchorId="29757448" wp14:editId="75F94F94">
                <wp:simplePos x="0" y="0"/>
                <wp:positionH relativeFrom="margin">
                  <wp:posOffset>61595</wp:posOffset>
                </wp:positionH>
                <wp:positionV relativeFrom="paragraph">
                  <wp:posOffset>613410</wp:posOffset>
                </wp:positionV>
                <wp:extent cx="6091555" cy="1014730"/>
                <wp:effectExtent l="0" t="0" r="23495" b="13970"/>
                <wp:wrapSquare wrapText="bothSides"/>
                <wp:docPr id="1" name="Text Box 1"/>
                <wp:cNvGraphicFramePr/>
                <a:graphic xmlns:a="http://schemas.openxmlformats.org/drawingml/2006/main">
                  <a:graphicData uri="http://schemas.microsoft.com/office/word/2010/wordprocessingShape">
                    <wps:wsp>
                      <wps:cNvSpPr txBox="1"/>
                      <wps:spPr>
                        <a:xfrm>
                          <a:off x="0" y="0"/>
                          <a:ext cx="6091555" cy="101473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8BE3DE5" w14:textId="77777777" w:rsidR="00F873F6" w:rsidRPr="00A675F5" w:rsidRDefault="00F873F6" w:rsidP="00E07072">
                            <w:pPr>
                              <w:pStyle w:val="Doc-text2"/>
                              <w:spacing w:after="60" w:line="240" w:lineRule="exact"/>
                              <w:ind w:left="363"/>
                              <w:rPr>
                                <w:highlight w:val="yellow"/>
                              </w:rPr>
                            </w:pPr>
                            <w:r>
                              <w:t xml:space="preserve">As a summary, RAN2 concluded to study </w:t>
                            </w:r>
                            <w:r w:rsidRPr="00A675F5">
                              <w:rPr>
                                <w:highlight w:val="yellow"/>
                              </w:rPr>
                              <w:t>two solutions</w:t>
                            </w:r>
                            <w:r>
                              <w:t>: the ‘</w:t>
                            </w:r>
                            <w:r w:rsidRPr="00A675F5">
                              <w:rPr>
                                <w:highlight w:val="yellow"/>
                              </w:rPr>
                              <w:t>dormancy’ behaviour</w:t>
                            </w:r>
                            <w:r>
                              <w:t xml:space="preserve"> and the </w:t>
                            </w:r>
                            <w:r w:rsidRPr="00A675F5">
                              <w:rPr>
                                <w:highlight w:val="yellow"/>
                              </w:rPr>
                              <w:t xml:space="preserve">temporary </w:t>
                            </w:r>
                          </w:p>
                          <w:p w14:paraId="690E6F42" w14:textId="77777777" w:rsidR="00F873F6" w:rsidRDefault="00F873F6" w:rsidP="00E07072">
                            <w:pPr>
                              <w:pStyle w:val="Doc-text2"/>
                              <w:spacing w:after="60" w:line="240" w:lineRule="exact"/>
                              <w:ind w:left="363"/>
                            </w:pPr>
                            <w:r w:rsidRPr="00D51C3A">
                              <w:rPr>
                                <w:highlight w:val="yellow"/>
                              </w:rPr>
                              <w:t>RS</w:t>
                            </w:r>
                            <w:r w:rsidRPr="0026380B">
                              <w:rPr>
                                <w:highlight w:val="yellow"/>
                              </w:rPr>
                              <w:t xml:space="preserve"> at SCell activation </w:t>
                            </w:r>
                            <w:r w:rsidRPr="0026380B">
                              <w:t xml:space="preserve">to </w:t>
                            </w:r>
                            <w:r w:rsidRPr="00A675F5">
                              <w:rPr>
                                <w:highlight w:val="yellow"/>
                              </w:rPr>
                              <w:t>reduce activation latency</w:t>
                            </w:r>
                            <w:r>
                              <w:t xml:space="preserve"> (e.g. SSB, CSI-RS or TRS activated after SCell </w:t>
                            </w:r>
                          </w:p>
                          <w:p w14:paraId="7F05080F" w14:textId="69CF31A2" w:rsidR="00F873F6" w:rsidRDefault="00F873F6" w:rsidP="00E07072">
                            <w:pPr>
                              <w:pStyle w:val="Doc-text2"/>
                              <w:spacing w:after="60" w:line="240" w:lineRule="exact"/>
                              <w:ind w:left="363"/>
                            </w:pPr>
                            <w:r>
                              <w:t xml:space="preserve">activation), which are illustrated in above agreements. To make progress, RAN2 would like to request </w:t>
                            </w:r>
                          </w:p>
                          <w:p w14:paraId="4F012786" w14:textId="77777777" w:rsidR="00F873F6" w:rsidRDefault="00F873F6" w:rsidP="00E07072">
                            <w:pPr>
                              <w:pStyle w:val="Doc-text2"/>
                              <w:spacing w:after="60" w:line="240" w:lineRule="exact"/>
                              <w:ind w:left="363"/>
                            </w:pPr>
                            <w:r>
                              <w:t xml:space="preserve">RAN1/RAN4 for input on their feasibility and benefit. For this study, RAN2 focus on </w:t>
                            </w:r>
                            <w:r w:rsidRPr="00A675F5">
                              <w:rPr>
                                <w:highlight w:val="yellow"/>
                              </w:rPr>
                              <w:t>latency</w:t>
                            </w:r>
                            <w:r>
                              <w:rPr>
                                <w:highlight w:val="yellow"/>
                              </w:rPr>
                              <w:t xml:space="preserve"> </w:t>
                            </w:r>
                            <w:r w:rsidRPr="00A675F5">
                              <w:rPr>
                                <w:highlight w:val="yellow"/>
                              </w:rPr>
                              <w:t>performance</w:t>
                            </w:r>
                          </w:p>
                          <w:p w14:paraId="40A443AD" w14:textId="55D88112" w:rsidR="00F873F6" w:rsidRDefault="00F873F6" w:rsidP="00E07072">
                            <w:pPr>
                              <w:pStyle w:val="Doc-text2"/>
                              <w:spacing w:after="60" w:line="240" w:lineRule="exact"/>
                              <w:ind w:left="363"/>
                            </w:pPr>
                            <w:r>
                              <w:t>for fast return to SCell utilisation for data transfer.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9757448" id="_x0000_t202" coordsize="21600,21600" o:spt="202" path="m,l,21600r21600,l21600,xe">
                <v:stroke joinstyle="miter"/>
                <v:path gradientshapeok="t" o:connecttype="rect"/>
              </v:shapetype>
              <v:shape id="Text Box 1" o:spid="_x0000_s1026" type="#_x0000_t202" style="position:absolute;left:0;text-align:left;margin-left:4.85pt;margin-top:48.3pt;width:479.65pt;height:79.9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" fillcolor="white [3201]" strokeweight=".5pt">
                <v:textbox>
                  <w:txbxContent>
                    <w:p w14:paraId="38BE3DE5" w14:textId="77777777" w:rsidR="00F873F6" w:rsidRPr="00A675F5" w:rsidRDefault="00F873F6" w:rsidP="00E07072">
                      <w:pPr>
                        <w:pStyle w:val="Doc-text2"/>
                        <w:spacing w:after="60" w:line="240" w:lineRule="exact"/>
                        <w:ind w:left="363"/>
                        <w:rPr>
                          <w:highlight w:val="yellow"/>
                        </w:rPr>
                      </w:pPr>
                      <w:r>
                        <w:t xml:space="preserve">As a summary, RAN2 concluded to study </w:t>
                      </w:r>
                      <w:r w:rsidRPr="00A675F5">
                        <w:rPr>
                          <w:highlight w:val="yellow"/>
                        </w:rPr>
                        <w:t>two solutions</w:t>
                      </w:r>
                      <w:r>
                        <w:t>: the ‘</w:t>
                      </w:r>
                      <w:r w:rsidRPr="00A675F5">
                        <w:rPr>
                          <w:highlight w:val="yellow"/>
                        </w:rPr>
                        <w:t>dormancy’ behaviour</w:t>
                      </w:r>
                      <w:r>
                        <w:t xml:space="preserve"> and the </w:t>
                      </w:r>
                      <w:r w:rsidRPr="00A675F5">
                        <w:rPr>
                          <w:highlight w:val="yellow"/>
                        </w:rPr>
                        <w:t xml:space="preserve">temporary </w:t>
                      </w:r>
                    </w:p>
                    <w:p w14:paraId="690E6F42" w14:textId="77777777" w:rsidR="00F873F6" w:rsidRDefault="00F873F6" w:rsidP="00E07072">
                      <w:pPr>
                        <w:pStyle w:val="Doc-text2"/>
                        <w:spacing w:after="60" w:line="240" w:lineRule="exact"/>
                        <w:ind w:left="363"/>
                      </w:pPr>
                      <w:r w:rsidRPr="00D51C3A">
                        <w:rPr>
                          <w:highlight w:val="yellow"/>
                        </w:rPr>
                        <w:t>RS</w:t>
                      </w:r>
                      <w:r w:rsidRPr="0026380B">
                        <w:rPr>
                          <w:highlight w:val="yellow"/>
                        </w:rPr>
                        <w:t xml:space="preserve"> at SCell activation </w:t>
                      </w:r>
                      <w:r w:rsidRPr="0026380B">
                        <w:t xml:space="preserve">to </w:t>
                      </w:r>
                      <w:r w:rsidRPr="00A675F5">
                        <w:rPr>
                          <w:highlight w:val="yellow"/>
                        </w:rPr>
                        <w:t>reduce activation latency</w:t>
                      </w:r>
                      <w:r>
                        <w:t xml:space="preserve"> (e.g. SSB, CSI-RS or TRS activated after SCell </w:t>
                      </w:r>
                    </w:p>
                    <w:p w14:paraId="7F05080F" w14:textId="69CF31A2" w:rsidR="00F873F6" w:rsidRDefault="00F873F6" w:rsidP="00E07072">
                      <w:pPr>
                        <w:pStyle w:val="Doc-text2"/>
                        <w:spacing w:after="60" w:line="240" w:lineRule="exact"/>
                        <w:ind w:left="363"/>
                      </w:pPr>
                      <w:r>
                        <w:t xml:space="preserve">activation), which are illustrated in above agreements. To make progress, RAN2 would like to request </w:t>
                      </w:r>
                    </w:p>
                    <w:p w14:paraId="4F012786" w14:textId="77777777" w:rsidR="00F873F6" w:rsidRDefault="00F873F6" w:rsidP="00E07072">
                      <w:pPr>
                        <w:pStyle w:val="Doc-text2"/>
                        <w:spacing w:after="60" w:line="240" w:lineRule="exact"/>
                        <w:ind w:left="363"/>
                      </w:pPr>
                      <w:r>
                        <w:t xml:space="preserve">RAN1/RAN4 for input on their feasibility and benefit. For this study, RAN2 focus on </w:t>
                      </w:r>
                      <w:r w:rsidRPr="00A675F5">
                        <w:rPr>
                          <w:highlight w:val="yellow"/>
                        </w:rPr>
                        <w:t>latency</w:t>
                      </w:r>
                      <w:r>
                        <w:rPr>
                          <w:highlight w:val="yellow"/>
                        </w:rPr>
                        <w:t xml:space="preserve"> </w:t>
                      </w:r>
                      <w:r w:rsidRPr="00A675F5">
                        <w:rPr>
                          <w:highlight w:val="yellow"/>
                        </w:rPr>
                        <w:t>performance</w:t>
                      </w:r>
                    </w:p>
                    <w:p w14:paraId="40A443AD" w14:textId="55D88112" w:rsidR="00F873F6" w:rsidRDefault="00F873F6" w:rsidP="00E07072">
                      <w:pPr>
                        <w:pStyle w:val="Doc-text2"/>
                        <w:spacing w:after="60" w:line="240" w:lineRule="exact"/>
                        <w:ind w:left="363"/>
                      </w:pPr>
                      <w:r>
                        <w:t>for fast return to SCell utilisation for data transfer.</w:t>
                      </w:r>
                    </w:p>
                  </w:txbxContent>
                </v:textbox>
                <w10:wrap type="square" anchorx="margin"/>
              </v:shape>
            </w:pict>
          </mc:Fallback>
        </mc:AlternateContent>
      </w:r>
      <w:r w:rsidR="00331B87" w:rsidRPr="009D1A11">
        <w:rPr>
          <w:rFonts w:eastAsiaTheme="minorEastAsia" w:cs="Arial"/>
          <w:sz w:val="22"/>
          <w:lang w:eastAsia="zh-CN"/>
        </w:rPr>
        <w:t xml:space="preserve">In </w:t>
      </w:r>
      <w:r w:rsidR="00331B87">
        <w:rPr>
          <w:rFonts w:eastAsiaTheme="minorEastAsia" w:cs="Arial"/>
          <w:sz w:val="22"/>
          <w:lang w:eastAsia="zh-CN"/>
        </w:rPr>
        <w:t>RAN1 #97 (May) meeting</w:t>
      </w:r>
      <w:r w:rsidR="006F76A7">
        <w:rPr>
          <w:rFonts w:eastAsiaTheme="minorEastAsia" w:cs="Arial"/>
          <w:sz w:val="22"/>
          <w:lang w:eastAsia="zh-CN"/>
        </w:rPr>
        <w:t xml:space="preserve">, RAN2 sent an LS [1] to inform </w:t>
      </w:r>
      <w:r>
        <w:rPr>
          <w:rFonts w:eastAsiaTheme="minorEastAsia" w:cs="Arial"/>
          <w:sz w:val="22"/>
          <w:lang w:eastAsia="zh-CN"/>
        </w:rPr>
        <w:t>RAN</w:t>
      </w:r>
      <w:r w:rsidR="007E2E58">
        <w:rPr>
          <w:rFonts w:eastAsiaTheme="minorEastAsia" w:cs="Arial"/>
          <w:sz w:val="22"/>
          <w:lang w:eastAsia="zh-CN"/>
        </w:rPr>
        <w:t>1/</w:t>
      </w:r>
      <w:r>
        <w:rPr>
          <w:rFonts w:eastAsiaTheme="minorEastAsia" w:cs="Arial"/>
          <w:sz w:val="22"/>
          <w:lang w:eastAsia="zh-CN"/>
        </w:rPr>
        <w:t xml:space="preserve">4 to evaluate </w:t>
      </w:r>
      <w:r w:rsidR="006F76A7">
        <w:rPr>
          <w:rFonts w:eastAsiaTheme="minorEastAsia" w:cs="Arial"/>
          <w:sz w:val="22"/>
          <w:lang w:eastAsia="zh-CN"/>
        </w:rPr>
        <w:t xml:space="preserve">the </w:t>
      </w:r>
      <w:r>
        <w:rPr>
          <w:rFonts w:eastAsiaTheme="minorEastAsia" w:cs="Arial"/>
          <w:sz w:val="22"/>
          <w:lang w:eastAsia="zh-CN"/>
        </w:rPr>
        <w:t xml:space="preserve">2 solutions for </w:t>
      </w:r>
      <w:r w:rsidR="00D51C3A" w:rsidRPr="00D51C3A">
        <w:rPr>
          <w:rFonts w:eastAsiaTheme="minorEastAsia" w:cs="Arial"/>
          <w:sz w:val="22"/>
          <w:lang w:eastAsia="zh-CN"/>
        </w:rPr>
        <w:t>SCells fast return to the data transfer</w:t>
      </w:r>
      <w:r>
        <w:rPr>
          <w:rFonts w:eastAsiaTheme="minorEastAsia" w:cs="Arial"/>
          <w:sz w:val="22"/>
          <w:lang w:eastAsia="zh-CN"/>
        </w:rPr>
        <w:t>:</w:t>
      </w:r>
    </w:p>
    <w:p w14:paraId="1481F893" w14:textId="57035ED3" w:rsidR="006B6751" w:rsidRPr="009F46B8" w:rsidRDefault="006B6751" w:rsidP="00D11401">
      <w:pPr>
        <w:pStyle w:val="Doc-text2"/>
        <w:spacing w:line="240" w:lineRule="exact"/>
        <w:ind w:left="568" w:firstLine="0"/>
      </w:pPr>
    </w:p>
    <w:p w14:paraId="23E62215" w14:textId="437DC4AF" w:rsidR="007E2E58" w:rsidRDefault="006A1D97" w:rsidP="007E2E58">
      <w:pPr>
        <w:pStyle w:val="Doc-text2"/>
        <w:tabs>
          <w:tab w:val="left" w:pos="340"/>
        </w:tabs>
        <w:spacing w:before="120" w:after="120"/>
        <w:ind w:left="0" w:firstLine="0"/>
        <w:jc w:val="both"/>
        <w:rPr>
          <w:rFonts w:eastAsiaTheme="minorEastAsia" w:cs="Arial"/>
          <w:sz w:val="22"/>
          <w:lang w:eastAsia="zh-CN"/>
        </w:rPr>
      </w:pPr>
      <w:r>
        <w:rPr>
          <w:rFonts w:eastAsiaTheme="minorEastAsia" w:cs="Arial"/>
          <w:sz w:val="22"/>
          <w:lang w:eastAsia="zh-CN"/>
        </w:rPr>
        <w:t>According to the RAN2 agreement, t</w:t>
      </w:r>
      <w:r w:rsidRPr="006A1D97">
        <w:rPr>
          <w:rFonts w:eastAsiaTheme="minorEastAsia" w:cs="Arial"/>
          <w:sz w:val="22"/>
          <w:lang w:eastAsia="zh-CN"/>
        </w:rPr>
        <w:t xml:space="preserve">he 'dormancy' behavior implies that the UE stops monitoring PDCCH but continues other activities such as AGC </w:t>
      </w:r>
      <w:r>
        <w:rPr>
          <w:rFonts w:eastAsiaTheme="minorEastAsia" w:cs="Arial"/>
          <w:sz w:val="22"/>
          <w:lang w:eastAsia="zh-CN"/>
        </w:rPr>
        <w:t xml:space="preserve">and RRM measurement, </w:t>
      </w:r>
      <w:r w:rsidRPr="006A1D97">
        <w:rPr>
          <w:rFonts w:eastAsiaTheme="minorEastAsia" w:cs="Arial"/>
          <w:sz w:val="22"/>
          <w:lang w:eastAsia="zh-CN"/>
        </w:rPr>
        <w:t xml:space="preserve">CSI measurements, and beam management. </w:t>
      </w:r>
      <w:r w:rsidR="007E2E58">
        <w:rPr>
          <w:rFonts w:eastAsiaTheme="minorEastAsia" w:cs="Arial"/>
          <w:sz w:val="22"/>
          <w:lang w:eastAsia="zh-CN"/>
        </w:rPr>
        <w:t xml:space="preserve">In RAN1 #98 meeting, RAN1 agreed to support </w:t>
      </w:r>
      <w:r w:rsidR="007E2E58" w:rsidRPr="00F60450">
        <w:rPr>
          <w:rFonts w:eastAsiaTheme="minorEastAsia" w:cs="Arial"/>
          <w:sz w:val="22"/>
          <w:lang w:eastAsia="zh-CN"/>
        </w:rPr>
        <w:t xml:space="preserve">‘dormancy-like’ behavior. </w:t>
      </w:r>
      <w:r w:rsidR="007E2E58">
        <w:rPr>
          <w:rFonts w:eastAsiaTheme="minorEastAsia" w:cs="Arial"/>
          <w:sz w:val="22"/>
          <w:lang w:eastAsia="zh-CN"/>
        </w:rPr>
        <w:t>In RAN1 #98-bis meeting</w:t>
      </w:r>
      <w:r w:rsidR="00913BA6">
        <w:rPr>
          <w:rFonts w:eastAsiaTheme="minorEastAsia" w:cs="Arial"/>
          <w:sz w:val="22"/>
          <w:lang w:eastAsia="zh-CN"/>
        </w:rPr>
        <w:t xml:space="preserve"> [2]</w:t>
      </w:r>
      <w:r w:rsidR="007E2E58">
        <w:rPr>
          <w:rFonts w:eastAsiaTheme="minorEastAsia" w:cs="Arial"/>
          <w:sz w:val="22"/>
          <w:lang w:eastAsia="zh-CN"/>
        </w:rPr>
        <w:t xml:space="preserve">, RAN1 further agrees to reuse BWP framework to achieve </w:t>
      </w:r>
      <w:r w:rsidR="007E2E58" w:rsidRPr="00991828">
        <w:rPr>
          <w:rFonts w:eastAsiaTheme="minorEastAsia" w:cs="Arial"/>
          <w:sz w:val="22"/>
          <w:lang w:eastAsia="zh-CN"/>
        </w:rPr>
        <w:t>‘dormancy-like’ behavior</w:t>
      </w:r>
      <w:r w:rsidR="00B61259" w:rsidRPr="00991828">
        <w:rPr>
          <w:rFonts w:eastAsiaTheme="minorEastAsia" w:cs="Arial"/>
          <w:sz w:val="22"/>
          <w:lang w:eastAsia="zh-CN"/>
        </w:rPr>
        <w:t xml:space="preserve"> within active time</w:t>
      </w:r>
      <w:r w:rsidR="007E2E58" w:rsidRPr="00991828">
        <w:rPr>
          <w:rFonts w:eastAsiaTheme="minorEastAsia" w:cs="Arial"/>
          <w:sz w:val="22"/>
          <w:lang w:eastAsia="zh-CN"/>
        </w:rPr>
        <w:t>:</w:t>
      </w:r>
    </w:p>
    <w:p w14:paraId="629734C6" w14:textId="77777777" w:rsidR="007E2E58" w:rsidRPr="00B61259" w:rsidRDefault="007E2E58" w:rsidP="007E2E58">
      <w:pPr>
        <w:rPr>
          <w:b/>
          <w:bCs/>
          <w:sz w:val="18"/>
          <w:lang w:eastAsia="x-none"/>
        </w:rPr>
      </w:pPr>
      <w:r w:rsidRPr="00B61259">
        <w:rPr>
          <w:sz w:val="18"/>
          <w:highlight w:val="green"/>
          <w:lang w:eastAsia="x-none"/>
        </w:rPr>
        <w:t>Agreements</w:t>
      </w:r>
      <w:r w:rsidRPr="00B61259">
        <w:rPr>
          <w:b/>
          <w:bCs/>
          <w:sz w:val="18"/>
          <w:lang w:eastAsia="x-none"/>
        </w:rPr>
        <w:t>:</w:t>
      </w:r>
    </w:p>
    <w:p w14:paraId="5DD068F1" w14:textId="77777777" w:rsidR="007E2E58" w:rsidRPr="00B61259" w:rsidRDefault="007E2E58" w:rsidP="007E2E58">
      <w:pPr>
        <w:pStyle w:val="af7"/>
        <w:numPr>
          <w:ilvl w:val="0"/>
          <w:numId w:val="31"/>
        </w:numPr>
        <w:spacing w:after="0"/>
        <w:contextualSpacing/>
        <w:rPr>
          <w:szCs w:val="20"/>
        </w:rPr>
      </w:pPr>
      <w:r w:rsidRPr="00B61259">
        <w:rPr>
          <w:szCs w:val="20"/>
        </w:rPr>
        <w:t xml:space="preserve">For the L1 based Scell dormancy indication sent on primary cell </w:t>
      </w:r>
      <w:r w:rsidRPr="00991828">
        <w:rPr>
          <w:szCs w:val="20"/>
          <w:highlight w:val="yellow"/>
        </w:rPr>
        <w:t>within active time</w:t>
      </w:r>
    </w:p>
    <w:p w14:paraId="1F56DDAA" w14:textId="77777777" w:rsidR="007E2E58" w:rsidRPr="00B61259" w:rsidRDefault="007E2E58" w:rsidP="007E2E58">
      <w:pPr>
        <w:pStyle w:val="af7"/>
        <w:numPr>
          <w:ilvl w:val="1"/>
          <w:numId w:val="31"/>
        </w:numPr>
        <w:spacing w:after="0"/>
        <w:contextualSpacing/>
        <w:rPr>
          <w:szCs w:val="20"/>
        </w:rPr>
      </w:pPr>
      <w:r w:rsidRPr="00B61259">
        <w:rPr>
          <w:szCs w:val="20"/>
        </w:rPr>
        <w:t>UE is configured with at least two BWPs for an Scell</w:t>
      </w:r>
    </w:p>
    <w:p w14:paraId="62827CC0" w14:textId="77777777" w:rsidR="007E2E58" w:rsidRPr="00B61259" w:rsidRDefault="007E2E58" w:rsidP="007E2E58">
      <w:pPr>
        <w:pStyle w:val="af7"/>
        <w:numPr>
          <w:ilvl w:val="2"/>
          <w:numId w:val="31"/>
        </w:numPr>
        <w:spacing w:after="0"/>
        <w:contextualSpacing/>
        <w:rPr>
          <w:szCs w:val="20"/>
        </w:rPr>
      </w:pPr>
      <w:r w:rsidRPr="00991828">
        <w:rPr>
          <w:szCs w:val="20"/>
          <w:highlight w:val="yellow"/>
        </w:rPr>
        <w:t>The explicit information field in DCI indicates switching to/from dormant BWP configured for the Scell</w:t>
      </w:r>
    </w:p>
    <w:p w14:paraId="42F8C238" w14:textId="77777777" w:rsidR="007E2E58" w:rsidRPr="00B61259" w:rsidRDefault="007E2E58" w:rsidP="007E2E58">
      <w:pPr>
        <w:pStyle w:val="af7"/>
        <w:numPr>
          <w:ilvl w:val="3"/>
          <w:numId w:val="31"/>
        </w:numPr>
        <w:spacing w:after="0"/>
        <w:contextualSpacing/>
        <w:rPr>
          <w:szCs w:val="20"/>
        </w:rPr>
      </w:pPr>
      <w:r w:rsidRPr="00991828">
        <w:rPr>
          <w:szCs w:val="20"/>
          <w:highlight w:val="yellow"/>
        </w:rPr>
        <w:t>FFS definition of dormant BWP</w:t>
      </w:r>
    </w:p>
    <w:p w14:paraId="5C3FAA78" w14:textId="77777777" w:rsidR="007E2E58" w:rsidRPr="00B61259" w:rsidRDefault="007E2E58" w:rsidP="007E2E58">
      <w:pPr>
        <w:pStyle w:val="af7"/>
        <w:numPr>
          <w:ilvl w:val="3"/>
          <w:numId w:val="31"/>
        </w:numPr>
        <w:spacing w:after="0"/>
        <w:contextualSpacing/>
        <w:rPr>
          <w:szCs w:val="20"/>
        </w:rPr>
      </w:pPr>
      <w:r w:rsidRPr="00B61259">
        <w:rPr>
          <w:szCs w:val="20"/>
        </w:rPr>
        <w:t>FFS whether or not to the same BWP switching delay to the non-dormant to dormant transition delay</w:t>
      </w:r>
    </w:p>
    <w:p w14:paraId="117BAC6A" w14:textId="77777777" w:rsidR="007E2E58" w:rsidRPr="00B61259" w:rsidRDefault="007E2E58" w:rsidP="007E2E58">
      <w:pPr>
        <w:pStyle w:val="af7"/>
        <w:numPr>
          <w:ilvl w:val="1"/>
          <w:numId w:val="31"/>
        </w:numPr>
        <w:spacing w:after="0"/>
        <w:contextualSpacing/>
        <w:rPr>
          <w:szCs w:val="20"/>
        </w:rPr>
      </w:pPr>
      <w:r w:rsidRPr="00B61259">
        <w:rPr>
          <w:szCs w:val="20"/>
        </w:rPr>
        <w:t>Note: Rel15 behavior for case when 1BWP is configured for the Scell (i.e., no dormancy indication for that Scell)</w:t>
      </w:r>
    </w:p>
    <w:p w14:paraId="00C51289" w14:textId="1FE6A990" w:rsidR="00267B74" w:rsidRDefault="00D46A20" w:rsidP="007E2E58">
      <w:pPr>
        <w:pStyle w:val="Doc-text2"/>
        <w:tabs>
          <w:tab w:val="left" w:pos="340"/>
        </w:tabs>
        <w:spacing w:before="120" w:after="120"/>
        <w:ind w:left="0" w:firstLine="0"/>
        <w:jc w:val="both"/>
        <w:rPr>
          <w:rFonts w:eastAsiaTheme="minorEastAsia" w:cs="Arial"/>
          <w:sz w:val="22"/>
          <w:lang w:eastAsia="zh-CN"/>
        </w:rPr>
      </w:pPr>
      <w:r>
        <w:rPr>
          <w:rFonts w:eastAsiaTheme="minorEastAsia" w:cs="Arial"/>
          <w:sz w:val="22"/>
          <w:lang w:eastAsia="zh-CN"/>
        </w:rPr>
        <w:t xml:space="preserve">For SCell (s) dormancy indication </w:t>
      </w:r>
      <w:r w:rsidRPr="00991828">
        <w:rPr>
          <w:rFonts w:eastAsiaTheme="minorEastAsia" w:cs="Arial"/>
          <w:sz w:val="22"/>
          <w:u w:val="single"/>
          <w:lang w:eastAsia="zh-CN"/>
        </w:rPr>
        <w:t>outside active time</w:t>
      </w:r>
      <w:r w:rsidR="006F1D68">
        <w:rPr>
          <w:rFonts w:eastAsiaTheme="minorEastAsia" w:cs="Arial"/>
          <w:sz w:val="22"/>
          <w:lang w:eastAsia="zh-CN"/>
        </w:rPr>
        <w:t xml:space="preserve"> by WUS PDCCH</w:t>
      </w:r>
      <w:r w:rsidR="00267B74">
        <w:rPr>
          <w:rFonts w:eastAsiaTheme="minorEastAsia" w:cs="Arial"/>
          <w:sz w:val="22"/>
          <w:lang w:eastAsia="zh-CN"/>
        </w:rPr>
        <w:t>:</w:t>
      </w:r>
      <w:r>
        <w:rPr>
          <w:rFonts w:eastAsiaTheme="minorEastAsia" w:cs="Arial"/>
          <w:sz w:val="22"/>
          <w:lang w:eastAsia="zh-CN"/>
        </w:rPr>
        <w:t xml:space="preserve"> </w:t>
      </w:r>
    </w:p>
    <w:p w14:paraId="4DA41FD5" w14:textId="3EB3CDBA" w:rsidR="00267B74" w:rsidRDefault="00267B74" w:rsidP="00267B74">
      <w:pPr>
        <w:pStyle w:val="Doc-text2"/>
        <w:numPr>
          <w:ilvl w:val="0"/>
          <w:numId w:val="35"/>
        </w:numPr>
        <w:tabs>
          <w:tab w:val="left" w:pos="340"/>
        </w:tabs>
        <w:spacing w:before="120" w:after="120"/>
        <w:jc w:val="both"/>
        <w:rPr>
          <w:rFonts w:eastAsiaTheme="minorEastAsia" w:cs="Arial"/>
          <w:sz w:val="22"/>
          <w:lang w:eastAsia="zh-CN"/>
        </w:rPr>
      </w:pPr>
      <w:r>
        <w:rPr>
          <w:rFonts w:eastAsiaTheme="minorEastAsia" w:cs="Arial"/>
          <w:sz w:val="22"/>
          <w:lang w:eastAsia="zh-CN"/>
        </w:rPr>
        <w:lastRenderedPageBreak/>
        <w:t xml:space="preserve">only the transition </w:t>
      </w:r>
      <w:r w:rsidRPr="00267B74">
        <w:rPr>
          <w:rFonts w:eastAsiaTheme="minorEastAsia" w:cs="Arial"/>
          <w:sz w:val="22"/>
          <w:lang w:eastAsia="zh-CN"/>
        </w:rPr>
        <w:t>from ’dormancy-like’ to ’non-dormancy like’ behaviour on activated Scells</w:t>
      </w:r>
      <w:r>
        <w:rPr>
          <w:rFonts w:eastAsiaTheme="minorEastAsia" w:cs="Arial"/>
          <w:sz w:val="22"/>
          <w:lang w:eastAsia="zh-CN"/>
        </w:rPr>
        <w:t xml:space="preserve"> is agreed </w:t>
      </w:r>
    </w:p>
    <w:p w14:paraId="619B1AE9" w14:textId="6F75A83D" w:rsidR="00267B74" w:rsidRDefault="00267B74" w:rsidP="00267B74">
      <w:pPr>
        <w:pStyle w:val="Doc-text2"/>
        <w:numPr>
          <w:ilvl w:val="0"/>
          <w:numId w:val="35"/>
        </w:numPr>
        <w:tabs>
          <w:tab w:val="left" w:pos="340"/>
        </w:tabs>
        <w:spacing w:before="120" w:after="120"/>
        <w:jc w:val="both"/>
        <w:rPr>
          <w:rFonts w:eastAsiaTheme="minorEastAsia" w:cs="Arial"/>
          <w:sz w:val="22"/>
          <w:lang w:eastAsia="zh-CN"/>
        </w:rPr>
      </w:pPr>
      <w:r>
        <w:rPr>
          <w:rFonts w:eastAsiaTheme="minorEastAsia" w:cs="Arial"/>
          <w:sz w:val="22"/>
          <w:lang w:eastAsia="zh-CN"/>
        </w:rPr>
        <w:t>a</w:t>
      </w:r>
      <w:r w:rsidR="00D46A20">
        <w:rPr>
          <w:rFonts w:eastAsiaTheme="minorEastAsia" w:cs="Arial"/>
          <w:sz w:val="22"/>
          <w:lang w:eastAsia="zh-CN"/>
        </w:rPr>
        <w:t xml:space="preserve"> group based indication is agreed</w:t>
      </w:r>
      <w:r w:rsidR="00CF7131">
        <w:rPr>
          <w:rFonts w:eastAsiaTheme="minorEastAsia" w:cs="Arial"/>
          <w:sz w:val="22"/>
          <w:lang w:eastAsia="zh-CN"/>
        </w:rPr>
        <w:t xml:space="preserve"> </w:t>
      </w:r>
    </w:p>
    <w:p w14:paraId="47069537" w14:textId="16644639" w:rsidR="007E2E58" w:rsidRDefault="00CF7131" w:rsidP="00267B74">
      <w:pPr>
        <w:pStyle w:val="Doc-text2"/>
        <w:tabs>
          <w:tab w:val="left" w:pos="340"/>
        </w:tabs>
        <w:spacing w:before="120" w:after="120"/>
        <w:ind w:left="0" w:firstLine="0"/>
        <w:jc w:val="both"/>
        <w:rPr>
          <w:rFonts w:eastAsiaTheme="minorEastAsia" w:cs="Arial"/>
          <w:sz w:val="22"/>
          <w:lang w:eastAsia="zh-CN"/>
        </w:rPr>
      </w:pPr>
      <w:r>
        <w:rPr>
          <w:rFonts w:eastAsiaTheme="minorEastAsia" w:cs="Arial"/>
          <w:sz w:val="22"/>
          <w:lang w:eastAsia="zh-CN"/>
        </w:rPr>
        <w:t>in RAN1 #98-bis meeting</w:t>
      </w:r>
      <w:r w:rsidR="00D46A20">
        <w:rPr>
          <w:rFonts w:eastAsiaTheme="minorEastAsia" w:cs="Arial"/>
          <w:sz w:val="22"/>
          <w:lang w:eastAsia="zh-CN"/>
        </w:rPr>
        <w:t>:</w:t>
      </w:r>
    </w:p>
    <w:p w14:paraId="2DECFB73" w14:textId="77777777" w:rsidR="00267B74" w:rsidRPr="006A11D9" w:rsidRDefault="00267B74" w:rsidP="00267B74">
      <w:pPr>
        <w:rPr>
          <w:b/>
          <w:bCs/>
          <w:szCs w:val="20"/>
          <w:lang w:eastAsia="x-none"/>
        </w:rPr>
      </w:pPr>
      <w:r w:rsidRPr="006A11D9">
        <w:rPr>
          <w:szCs w:val="20"/>
          <w:highlight w:val="green"/>
          <w:lang w:eastAsia="x-none"/>
        </w:rPr>
        <w:t>Agreements</w:t>
      </w:r>
      <w:r w:rsidRPr="006A11D9">
        <w:rPr>
          <w:b/>
          <w:bCs/>
          <w:szCs w:val="20"/>
          <w:lang w:eastAsia="x-none"/>
        </w:rPr>
        <w:t>:</w:t>
      </w:r>
    </w:p>
    <w:p w14:paraId="77773AA6" w14:textId="77777777" w:rsidR="00267B74" w:rsidRPr="006A11D9" w:rsidRDefault="00267B74" w:rsidP="00267B74">
      <w:pPr>
        <w:numPr>
          <w:ilvl w:val="0"/>
          <w:numId w:val="36"/>
        </w:numPr>
        <w:spacing w:after="0" w:line="240" w:lineRule="auto"/>
        <w:rPr>
          <w:szCs w:val="20"/>
        </w:rPr>
      </w:pPr>
      <w:r w:rsidRPr="006A11D9">
        <w:rPr>
          <w:szCs w:val="20"/>
        </w:rPr>
        <w:t xml:space="preserve">When the UE is </w:t>
      </w:r>
      <w:r w:rsidRPr="00267B74">
        <w:rPr>
          <w:szCs w:val="20"/>
          <w:highlight w:val="yellow"/>
        </w:rPr>
        <w:t>outside Active Time</w:t>
      </w:r>
      <w:r w:rsidRPr="006A11D9">
        <w:rPr>
          <w:szCs w:val="20"/>
        </w:rPr>
        <w:t xml:space="preserve">, for the L1 based mechanism for transitioning </w:t>
      </w:r>
      <w:r w:rsidRPr="00210124">
        <w:rPr>
          <w:szCs w:val="20"/>
          <w:highlight w:val="yellow"/>
        </w:rPr>
        <w:t>from ’dormancy-like’ to ’non-dormancy like’ behaviour</w:t>
      </w:r>
      <w:r w:rsidRPr="006A11D9">
        <w:rPr>
          <w:szCs w:val="20"/>
        </w:rPr>
        <w:t xml:space="preserve"> on activated Scells, an explicit information field for the UE is introduced to the PDCCH WUS</w:t>
      </w:r>
    </w:p>
    <w:p w14:paraId="3411E446" w14:textId="77777777" w:rsidR="00267B74" w:rsidRPr="006A11D9" w:rsidRDefault="00267B74" w:rsidP="00267B74">
      <w:pPr>
        <w:numPr>
          <w:ilvl w:val="1"/>
          <w:numId w:val="36"/>
        </w:numPr>
        <w:spacing w:after="0" w:line="240" w:lineRule="auto"/>
        <w:rPr>
          <w:szCs w:val="20"/>
        </w:rPr>
      </w:pPr>
      <w:r w:rsidRPr="006A11D9">
        <w:rPr>
          <w:szCs w:val="20"/>
        </w:rPr>
        <w:t>The explicit information field is configurable within a range of 0 to X1 bits</w:t>
      </w:r>
    </w:p>
    <w:p w14:paraId="2D6F0F8C" w14:textId="77777777" w:rsidR="00267B74" w:rsidRPr="006A11D9" w:rsidRDefault="00267B74" w:rsidP="00267B74">
      <w:pPr>
        <w:numPr>
          <w:ilvl w:val="2"/>
          <w:numId w:val="36"/>
        </w:numPr>
        <w:spacing w:after="0" w:line="240" w:lineRule="auto"/>
        <w:rPr>
          <w:szCs w:val="20"/>
        </w:rPr>
      </w:pPr>
      <w:r w:rsidRPr="006A11D9">
        <w:rPr>
          <w:szCs w:val="20"/>
        </w:rPr>
        <w:t>X1 &lt;&lt;15</w:t>
      </w:r>
    </w:p>
    <w:p w14:paraId="18B43797" w14:textId="3820FC78" w:rsidR="00267B74" w:rsidRPr="006A11D9" w:rsidRDefault="00267B74" w:rsidP="00267B74">
      <w:pPr>
        <w:numPr>
          <w:ilvl w:val="2"/>
          <w:numId w:val="36"/>
        </w:numPr>
        <w:spacing w:after="0" w:line="240" w:lineRule="auto"/>
        <w:rPr>
          <w:szCs w:val="20"/>
        </w:rPr>
      </w:pPr>
      <w:r w:rsidRPr="006A11D9">
        <w:rPr>
          <w:szCs w:val="20"/>
        </w:rPr>
        <w:t>FFS whether to use BWP framework for transitioning from dorman</w:t>
      </w:r>
      <w:r>
        <w:rPr>
          <w:szCs w:val="20"/>
        </w:rPr>
        <w:t>c</w:t>
      </w:r>
      <w:r w:rsidRPr="006A11D9">
        <w:rPr>
          <w:szCs w:val="20"/>
        </w:rPr>
        <w:t>y to non-dormancy</w:t>
      </w:r>
    </w:p>
    <w:p w14:paraId="01555109" w14:textId="7D30119F" w:rsidR="00267B74" w:rsidRPr="00267B74" w:rsidRDefault="00267B74" w:rsidP="00267B74">
      <w:pPr>
        <w:numPr>
          <w:ilvl w:val="1"/>
          <w:numId w:val="36"/>
        </w:numPr>
        <w:spacing w:after="0" w:line="240" w:lineRule="auto"/>
        <w:rPr>
          <w:szCs w:val="20"/>
          <w:highlight w:val="yellow"/>
        </w:rPr>
      </w:pPr>
      <w:r w:rsidRPr="00210124">
        <w:rPr>
          <w:szCs w:val="20"/>
          <w:highlight w:val="yellow"/>
        </w:rPr>
        <w:t>FFS the case of ’non-dormancy-like’ to ’dormancy like’ transition</w:t>
      </w:r>
    </w:p>
    <w:p w14:paraId="18BE800B" w14:textId="77777777" w:rsidR="00D46A20" w:rsidRPr="001E441C" w:rsidRDefault="00D46A20" w:rsidP="00D46A20">
      <w:pPr>
        <w:rPr>
          <w:szCs w:val="20"/>
          <w:lang w:eastAsia="x-none"/>
        </w:rPr>
      </w:pPr>
      <w:r w:rsidRPr="001E441C">
        <w:rPr>
          <w:szCs w:val="20"/>
          <w:highlight w:val="green"/>
          <w:lang w:eastAsia="x-none"/>
        </w:rPr>
        <w:t>Agreements</w:t>
      </w:r>
      <w:r w:rsidRPr="001E441C">
        <w:rPr>
          <w:szCs w:val="20"/>
          <w:lang w:eastAsia="x-none"/>
        </w:rPr>
        <w:t>:</w:t>
      </w:r>
    </w:p>
    <w:p w14:paraId="5F42E2E9" w14:textId="77777777" w:rsidR="00D46A20" w:rsidRPr="001E441C" w:rsidRDefault="00D46A20" w:rsidP="00D46A20">
      <w:pPr>
        <w:pStyle w:val="af7"/>
        <w:numPr>
          <w:ilvl w:val="0"/>
          <w:numId w:val="31"/>
        </w:numPr>
        <w:spacing w:after="0"/>
        <w:contextualSpacing/>
        <w:rPr>
          <w:szCs w:val="20"/>
        </w:rPr>
      </w:pPr>
      <w:r w:rsidRPr="001E441C">
        <w:rPr>
          <w:szCs w:val="20"/>
        </w:rPr>
        <w:t xml:space="preserve">For the L1 based Scell dormancy indication sent on primary cell </w:t>
      </w:r>
      <w:r w:rsidRPr="00991828">
        <w:rPr>
          <w:szCs w:val="20"/>
          <w:highlight w:val="yellow"/>
        </w:rPr>
        <w:t>outside active time</w:t>
      </w:r>
      <w:r w:rsidRPr="001E441C">
        <w:rPr>
          <w:szCs w:val="20"/>
        </w:rPr>
        <w:t xml:space="preserve"> in WUS PDCCH</w:t>
      </w:r>
    </w:p>
    <w:p w14:paraId="2407F856" w14:textId="77777777" w:rsidR="00D46A20" w:rsidRPr="001E441C" w:rsidRDefault="00D46A20" w:rsidP="00D46A20">
      <w:pPr>
        <w:pStyle w:val="af7"/>
        <w:numPr>
          <w:ilvl w:val="1"/>
          <w:numId w:val="31"/>
        </w:numPr>
        <w:spacing w:after="0"/>
        <w:contextualSpacing/>
        <w:rPr>
          <w:szCs w:val="20"/>
        </w:rPr>
      </w:pPr>
      <w:r w:rsidRPr="001E441C">
        <w:rPr>
          <w:szCs w:val="20"/>
        </w:rPr>
        <w:t xml:space="preserve">The explicit information field in DCI is </w:t>
      </w:r>
      <w:r w:rsidRPr="006F1D68">
        <w:rPr>
          <w:szCs w:val="20"/>
          <w:highlight w:val="yellow"/>
        </w:rPr>
        <w:t>a bitmap with up to X1 bits and 1 bit per group of configured Scells</w:t>
      </w:r>
    </w:p>
    <w:p w14:paraId="60CEC01A" w14:textId="77777777" w:rsidR="00D46A20" w:rsidRPr="001E441C" w:rsidRDefault="00D46A20" w:rsidP="00D46A20">
      <w:pPr>
        <w:pStyle w:val="af7"/>
        <w:numPr>
          <w:ilvl w:val="2"/>
          <w:numId w:val="31"/>
        </w:numPr>
        <w:spacing w:after="0"/>
        <w:contextualSpacing/>
        <w:rPr>
          <w:szCs w:val="20"/>
        </w:rPr>
      </w:pPr>
      <w:r w:rsidRPr="001E441C">
        <w:rPr>
          <w:szCs w:val="20"/>
        </w:rPr>
        <w:t xml:space="preserve">Each Scell group can have one/multiple Scells and up to X1 Scell groups are configured </w:t>
      </w:r>
      <w:r w:rsidRPr="006F1D68">
        <w:rPr>
          <w:szCs w:val="20"/>
          <w:highlight w:val="yellow"/>
        </w:rPr>
        <w:t>via RRC</w:t>
      </w:r>
      <w:r w:rsidRPr="001E441C">
        <w:rPr>
          <w:szCs w:val="20"/>
        </w:rPr>
        <w:t xml:space="preserve">. </w:t>
      </w:r>
    </w:p>
    <w:p w14:paraId="76AC7C82" w14:textId="77777777" w:rsidR="00D46A20" w:rsidRPr="001E441C" w:rsidRDefault="00D46A20" w:rsidP="00D46A20">
      <w:pPr>
        <w:pStyle w:val="af7"/>
        <w:numPr>
          <w:ilvl w:val="3"/>
          <w:numId w:val="31"/>
        </w:numPr>
        <w:spacing w:after="0"/>
        <w:contextualSpacing/>
        <w:rPr>
          <w:szCs w:val="20"/>
        </w:rPr>
      </w:pPr>
      <w:r w:rsidRPr="001E441C">
        <w:rPr>
          <w:szCs w:val="20"/>
        </w:rPr>
        <w:t xml:space="preserve">The Scell group configuration is independent from the Scell group configuration for dormancy indication within active time (if supported) </w:t>
      </w:r>
    </w:p>
    <w:p w14:paraId="523189FA" w14:textId="77777777" w:rsidR="00D46A20" w:rsidRPr="001E441C" w:rsidRDefault="00D46A20" w:rsidP="00D46A20">
      <w:pPr>
        <w:pStyle w:val="af7"/>
        <w:numPr>
          <w:ilvl w:val="2"/>
          <w:numId w:val="31"/>
        </w:numPr>
        <w:spacing w:after="0"/>
        <w:contextualSpacing/>
        <w:rPr>
          <w:szCs w:val="20"/>
        </w:rPr>
      </w:pPr>
      <w:r w:rsidRPr="001E441C">
        <w:rPr>
          <w:szCs w:val="20"/>
        </w:rPr>
        <w:t>X1 = [5]</w:t>
      </w:r>
    </w:p>
    <w:p w14:paraId="5187144F" w14:textId="77777777" w:rsidR="00D46A20" w:rsidRPr="001E441C" w:rsidRDefault="00D46A20" w:rsidP="00D46A20">
      <w:pPr>
        <w:pStyle w:val="af7"/>
        <w:numPr>
          <w:ilvl w:val="3"/>
          <w:numId w:val="31"/>
        </w:numPr>
        <w:spacing w:after="0"/>
        <w:contextualSpacing/>
        <w:rPr>
          <w:szCs w:val="20"/>
        </w:rPr>
      </w:pPr>
      <w:r w:rsidRPr="001E441C">
        <w:rPr>
          <w:szCs w:val="20"/>
        </w:rPr>
        <w:t>Note: X1 is upper bound.</w:t>
      </w:r>
    </w:p>
    <w:p w14:paraId="4E4EA9A1" w14:textId="46230865" w:rsidR="00D46A20" w:rsidRDefault="00D46A20" w:rsidP="006F1D68">
      <w:pPr>
        <w:pStyle w:val="Doc-text2"/>
        <w:tabs>
          <w:tab w:val="left" w:pos="340"/>
        </w:tabs>
        <w:spacing w:before="120" w:after="120"/>
        <w:ind w:left="284" w:firstLine="0"/>
        <w:jc w:val="both"/>
        <w:rPr>
          <w:rFonts w:eastAsiaTheme="minorEastAsia" w:cs="Arial"/>
          <w:sz w:val="22"/>
          <w:lang w:eastAsia="zh-CN"/>
        </w:rPr>
      </w:pPr>
      <w:r w:rsidRPr="001E441C">
        <w:rPr>
          <w:szCs w:val="20"/>
        </w:rPr>
        <w:t xml:space="preserve">Note: </w:t>
      </w:r>
      <w:r w:rsidRPr="006F1D68">
        <w:rPr>
          <w:szCs w:val="20"/>
          <w:highlight w:val="yellow"/>
        </w:rPr>
        <w:t>Number of bits</w:t>
      </w:r>
      <w:r w:rsidRPr="001E441C">
        <w:rPr>
          <w:szCs w:val="20"/>
        </w:rPr>
        <w:t xml:space="preserve"> used for explicit information field </w:t>
      </w:r>
      <w:r w:rsidRPr="006F1D68">
        <w:rPr>
          <w:szCs w:val="20"/>
          <w:highlight w:val="yellow"/>
        </w:rPr>
        <w:t>in WUS PDCCH</w:t>
      </w:r>
      <w:r w:rsidRPr="001E441C">
        <w:rPr>
          <w:szCs w:val="20"/>
        </w:rPr>
        <w:t xml:space="preserve"> is </w:t>
      </w:r>
      <w:r w:rsidRPr="006F1D68">
        <w:rPr>
          <w:szCs w:val="20"/>
          <w:highlight w:val="yellow"/>
        </w:rPr>
        <w:t>based on configuration</w:t>
      </w:r>
    </w:p>
    <w:p w14:paraId="0FC41E34" w14:textId="77777777" w:rsidR="00267B74" w:rsidRDefault="00267B74" w:rsidP="00D11401">
      <w:pPr>
        <w:pStyle w:val="Doc-text2"/>
        <w:tabs>
          <w:tab w:val="left" w:pos="340"/>
        </w:tabs>
        <w:spacing w:before="120" w:after="120"/>
        <w:ind w:left="0" w:firstLine="0"/>
        <w:jc w:val="both"/>
        <w:rPr>
          <w:rFonts w:eastAsiaTheme="minorEastAsia" w:cs="Arial"/>
          <w:sz w:val="22"/>
          <w:lang w:eastAsia="zh-CN"/>
        </w:rPr>
      </w:pPr>
    </w:p>
    <w:p w14:paraId="18ABFC12" w14:textId="41875F06" w:rsidR="006A1D97" w:rsidRDefault="00267B74" w:rsidP="00D11401">
      <w:pPr>
        <w:pStyle w:val="Doc-text2"/>
        <w:tabs>
          <w:tab w:val="left" w:pos="340"/>
        </w:tabs>
        <w:spacing w:before="120" w:after="120"/>
        <w:ind w:left="0" w:firstLine="0"/>
        <w:jc w:val="both"/>
        <w:rPr>
          <w:rFonts w:eastAsiaTheme="minorEastAsia" w:cs="Arial"/>
          <w:sz w:val="22"/>
          <w:lang w:eastAsia="zh-CN"/>
        </w:rPr>
      </w:pPr>
      <w:r>
        <w:rPr>
          <w:rFonts w:eastAsiaTheme="minorEastAsia" w:cs="Arial"/>
          <w:sz w:val="22"/>
          <w:lang w:eastAsia="zh-CN"/>
        </w:rPr>
        <w:t>As f</w:t>
      </w:r>
      <w:r w:rsidR="00B0169C">
        <w:rPr>
          <w:rFonts w:eastAsiaTheme="minorEastAsia" w:cs="Arial"/>
          <w:sz w:val="22"/>
          <w:lang w:eastAsia="zh-CN"/>
        </w:rPr>
        <w:t xml:space="preserve">or SCell (s) dormancy indication </w:t>
      </w:r>
      <w:r w:rsidR="00B0169C" w:rsidRPr="00991828">
        <w:rPr>
          <w:rFonts w:eastAsiaTheme="minorEastAsia" w:cs="Arial"/>
          <w:sz w:val="22"/>
          <w:u w:val="single"/>
          <w:lang w:eastAsia="zh-CN"/>
        </w:rPr>
        <w:t>inside active time</w:t>
      </w:r>
      <w:r w:rsidR="00B0169C">
        <w:rPr>
          <w:rFonts w:eastAsiaTheme="minorEastAsia" w:cs="Arial"/>
          <w:sz w:val="22"/>
          <w:lang w:eastAsia="zh-CN"/>
        </w:rPr>
        <w:t xml:space="preserve"> by PDCCH, </w:t>
      </w:r>
      <w:r w:rsidR="00301FC6">
        <w:rPr>
          <w:rFonts w:eastAsiaTheme="minorEastAsia" w:cs="Arial"/>
          <w:sz w:val="22"/>
          <w:lang w:eastAsia="zh-CN"/>
        </w:rPr>
        <w:t>a working assumption is agreed during the email discussion after RAN1 #98-bis meeting:</w:t>
      </w:r>
    </w:p>
    <w:p w14:paraId="60DADDBE" w14:textId="77777777" w:rsidR="000B03FF" w:rsidRPr="00301FC6" w:rsidRDefault="000B03FF" w:rsidP="000B03FF">
      <w:pPr>
        <w:rPr>
          <w:rFonts w:ascii="Calibri" w:hAnsi="Calibri" w:cs="Times New Roman"/>
          <w:sz w:val="20"/>
        </w:rPr>
      </w:pPr>
      <w:r w:rsidRPr="00301FC6">
        <w:rPr>
          <w:sz w:val="20"/>
          <w:highlight w:val="green"/>
        </w:rPr>
        <w:t>Proposed working assumption:</w:t>
      </w:r>
    </w:p>
    <w:p w14:paraId="4779A2C1" w14:textId="77777777" w:rsidR="000B03FF" w:rsidRPr="00301FC6" w:rsidRDefault="000B03FF" w:rsidP="000B03FF">
      <w:pPr>
        <w:numPr>
          <w:ilvl w:val="0"/>
          <w:numId w:val="32"/>
        </w:numPr>
        <w:spacing w:line="252" w:lineRule="auto"/>
        <w:rPr>
          <w:rFonts w:eastAsia="Times New Roman"/>
          <w:sz w:val="20"/>
        </w:rPr>
      </w:pPr>
      <w:r w:rsidRPr="00301FC6">
        <w:rPr>
          <w:rFonts w:eastAsia="Times New Roman"/>
          <w:sz w:val="20"/>
        </w:rPr>
        <w:t xml:space="preserve">For the L1 based Scell dormancy indication sent on primary cell </w:t>
      </w:r>
      <w:r w:rsidRPr="00991828">
        <w:rPr>
          <w:rFonts w:eastAsia="Times New Roman"/>
          <w:sz w:val="20"/>
          <w:highlight w:val="yellow"/>
        </w:rPr>
        <w:t>within active time</w:t>
      </w:r>
      <w:r w:rsidRPr="00301FC6">
        <w:rPr>
          <w:rFonts w:eastAsia="Times New Roman"/>
          <w:sz w:val="20"/>
        </w:rPr>
        <w:t xml:space="preserve"> </w:t>
      </w:r>
    </w:p>
    <w:p w14:paraId="2065B310" w14:textId="77777777" w:rsidR="000B03FF" w:rsidRPr="00301FC6" w:rsidRDefault="000B03FF" w:rsidP="000B03FF">
      <w:pPr>
        <w:numPr>
          <w:ilvl w:val="1"/>
          <w:numId w:val="32"/>
        </w:numPr>
        <w:spacing w:line="252" w:lineRule="auto"/>
        <w:rPr>
          <w:rFonts w:eastAsia="Times New Roman"/>
          <w:sz w:val="20"/>
        </w:rPr>
      </w:pPr>
      <w:r w:rsidRPr="00301FC6">
        <w:rPr>
          <w:rFonts w:eastAsia="Times New Roman"/>
          <w:sz w:val="20"/>
        </w:rPr>
        <w:t xml:space="preserve">Support the following two cases for the PDCCH with dormancy indication  </w:t>
      </w:r>
    </w:p>
    <w:p w14:paraId="78932455" w14:textId="77777777" w:rsidR="000B03FF" w:rsidRPr="00301FC6" w:rsidRDefault="000B03FF" w:rsidP="000B03FF">
      <w:pPr>
        <w:numPr>
          <w:ilvl w:val="2"/>
          <w:numId w:val="32"/>
        </w:numPr>
        <w:spacing w:line="252" w:lineRule="auto"/>
        <w:rPr>
          <w:rFonts w:eastAsia="Times New Roman"/>
          <w:sz w:val="20"/>
        </w:rPr>
      </w:pPr>
      <w:r w:rsidRPr="00301FC6">
        <w:rPr>
          <w:rFonts w:eastAsia="Times New Roman"/>
          <w:sz w:val="20"/>
        </w:rPr>
        <w:t>Case 1: The PDCCH schedules data for primary cell and also indicates dormancy for Scell(s)</w:t>
      </w:r>
    </w:p>
    <w:p w14:paraId="3FE5C192" w14:textId="77777777" w:rsidR="000B03FF" w:rsidRPr="00301FC6" w:rsidRDefault="000B03FF" w:rsidP="000B03FF">
      <w:pPr>
        <w:numPr>
          <w:ilvl w:val="3"/>
          <w:numId w:val="33"/>
        </w:numPr>
        <w:spacing w:line="252" w:lineRule="auto"/>
        <w:rPr>
          <w:rFonts w:eastAsia="Times New Roman"/>
          <w:sz w:val="20"/>
        </w:rPr>
      </w:pPr>
      <w:r w:rsidRPr="00301FC6">
        <w:rPr>
          <w:rFonts w:eastAsia="Times New Roman"/>
          <w:sz w:val="20"/>
        </w:rPr>
        <w:t>X2=5 (Note: X2 is upper bound)</w:t>
      </w:r>
    </w:p>
    <w:p w14:paraId="6C3FDF12" w14:textId="77777777" w:rsidR="000B03FF" w:rsidRPr="00301FC6" w:rsidRDefault="000B03FF" w:rsidP="000B03FF">
      <w:pPr>
        <w:numPr>
          <w:ilvl w:val="3"/>
          <w:numId w:val="33"/>
        </w:numPr>
        <w:spacing w:line="252" w:lineRule="auto"/>
        <w:rPr>
          <w:rFonts w:eastAsia="Times New Roman"/>
          <w:sz w:val="20"/>
        </w:rPr>
      </w:pPr>
      <w:r w:rsidRPr="00301FC6">
        <w:rPr>
          <w:rFonts w:eastAsia="Times New Roman"/>
          <w:sz w:val="20"/>
        </w:rPr>
        <w:lastRenderedPageBreak/>
        <w:t>Discuss detailed design of explicit information field in DCI  and associated RRC signaling in RAN1#99</w:t>
      </w:r>
    </w:p>
    <w:p w14:paraId="695D97FE" w14:textId="77777777" w:rsidR="000B03FF" w:rsidRPr="00301FC6" w:rsidRDefault="000B03FF" w:rsidP="000B03FF">
      <w:pPr>
        <w:numPr>
          <w:ilvl w:val="2"/>
          <w:numId w:val="32"/>
        </w:numPr>
        <w:spacing w:line="252" w:lineRule="auto"/>
        <w:rPr>
          <w:rFonts w:eastAsia="Times New Roman"/>
          <w:sz w:val="20"/>
        </w:rPr>
      </w:pPr>
      <w:r w:rsidRPr="00301FC6">
        <w:rPr>
          <w:rFonts w:eastAsia="Times New Roman"/>
          <w:sz w:val="20"/>
        </w:rPr>
        <w:t>Case 2: The PDCCH indicates dormancy for Scell(s) without scheduling data</w:t>
      </w:r>
    </w:p>
    <w:p w14:paraId="469CDF30" w14:textId="77777777" w:rsidR="000B03FF" w:rsidRPr="00301FC6" w:rsidRDefault="000B03FF" w:rsidP="000B03FF">
      <w:pPr>
        <w:numPr>
          <w:ilvl w:val="3"/>
          <w:numId w:val="34"/>
        </w:numPr>
        <w:spacing w:after="0" w:line="240" w:lineRule="auto"/>
        <w:rPr>
          <w:rFonts w:eastAsia="Times New Roman"/>
          <w:sz w:val="20"/>
        </w:rPr>
      </w:pPr>
      <w:r w:rsidRPr="00301FC6">
        <w:rPr>
          <w:rFonts w:eastAsia="Times New Roman"/>
          <w:sz w:val="20"/>
        </w:rPr>
        <w:t>Discuss detailed design of explicit information field in DCI in RAN1#99</w:t>
      </w:r>
    </w:p>
    <w:p w14:paraId="0B2B0E35" w14:textId="77777777" w:rsidR="000B03FF" w:rsidRPr="00301FC6" w:rsidRDefault="000B03FF" w:rsidP="000B03FF">
      <w:pPr>
        <w:numPr>
          <w:ilvl w:val="1"/>
          <w:numId w:val="32"/>
        </w:numPr>
        <w:spacing w:line="252" w:lineRule="auto"/>
        <w:rPr>
          <w:rFonts w:eastAsia="Times New Roman"/>
          <w:sz w:val="20"/>
        </w:rPr>
      </w:pPr>
      <w:r w:rsidRPr="00301FC6">
        <w:rPr>
          <w:rFonts w:eastAsia="Times New Roman"/>
          <w:sz w:val="20"/>
        </w:rPr>
        <w:t xml:space="preserve">UE is indicated whether the PDCCH with dormancy indication is according to Case 1 or Case 2 </w:t>
      </w:r>
    </w:p>
    <w:p w14:paraId="0DCCAB99" w14:textId="77777777" w:rsidR="000B03FF" w:rsidRPr="00301FC6" w:rsidRDefault="000B03FF" w:rsidP="000B03FF">
      <w:pPr>
        <w:numPr>
          <w:ilvl w:val="2"/>
          <w:numId w:val="32"/>
        </w:numPr>
        <w:spacing w:line="252" w:lineRule="auto"/>
        <w:rPr>
          <w:rFonts w:eastAsia="Times New Roman"/>
          <w:sz w:val="20"/>
        </w:rPr>
      </w:pPr>
      <w:r w:rsidRPr="00301FC6">
        <w:rPr>
          <w:rFonts w:eastAsia="Times New Roman"/>
          <w:sz w:val="20"/>
        </w:rPr>
        <w:t>FFS details: e.g. a dedicated bit for the differentiation, a reserved combination of DCI fields etc.</w:t>
      </w:r>
    </w:p>
    <w:p w14:paraId="7FDFC3BA" w14:textId="77777777" w:rsidR="000B03FF" w:rsidRPr="00301FC6" w:rsidRDefault="000B03FF" w:rsidP="000B03FF">
      <w:pPr>
        <w:numPr>
          <w:ilvl w:val="2"/>
          <w:numId w:val="32"/>
        </w:numPr>
        <w:spacing w:line="252" w:lineRule="auto"/>
        <w:rPr>
          <w:rFonts w:eastAsia="Times New Roman"/>
          <w:sz w:val="20"/>
        </w:rPr>
      </w:pPr>
      <w:r w:rsidRPr="00301FC6">
        <w:rPr>
          <w:rFonts w:eastAsia="Times New Roman"/>
          <w:sz w:val="20"/>
        </w:rPr>
        <w:t>Note: no new RRC signaling introduced specifically for this indication</w:t>
      </w:r>
    </w:p>
    <w:p w14:paraId="2E2D5CBA" w14:textId="4BD31E6D" w:rsidR="006A1D97" w:rsidRDefault="00906A78" w:rsidP="00D11401">
      <w:pPr>
        <w:pStyle w:val="Doc-text2"/>
        <w:tabs>
          <w:tab w:val="left" w:pos="340"/>
        </w:tabs>
        <w:spacing w:before="120" w:after="120"/>
        <w:ind w:left="0" w:firstLine="0"/>
        <w:jc w:val="both"/>
        <w:rPr>
          <w:rFonts w:eastAsiaTheme="minorEastAsia" w:cs="Arial"/>
          <w:sz w:val="22"/>
          <w:lang w:eastAsia="zh-CN"/>
        </w:rPr>
      </w:pPr>
      <w:r>
        <w:rPr>
          <w:rFonts w:eastAsiaTheme="minorEastAsia" w:cs="Arial"/>
          <w:sz w:val="22"/>
          <w:lang w:eastAsia="zh-CN"/>
        </w:rPr>
        <w:t xml:space="preserve">Both scheduling (Case 1) and non-scheduling (Case 2) DCI would be used to </w:t>
      </w:r>
      <w:r w:rsidR="006305C0">
        <w:rPr>
          <w:rFonts w:eastAsiaTheme="minorEastAsia" w:cs="Arial"/>
          <w:sz w:val="22"/>
          <w:lang w:eastAsia="zh-CN"/>
        </w:rPr>
        <w:t>indicate SCell (s) dormancy.</w:t>
      </w:r>
    </w:p>
    <w:p w14:paraId="7D431D4D" w14:textId="0E014071" w:rsidR="006305C0" w:rsidRDefault="00766F39" w:rsidP="00D11401">
      <w:pPr>
        <w:pStyle w:val="Doc-text2"/>
        <w:tabs>
          <w:tab w:val="left" w:pos="340"/>
        </w:tabs>
        <w:spacing w:before="120" w:after="120"/>
        <w:ind w:left="0" w:firstLine="0"/>
        <w:jc w:val="both"/>
        <w:rPr>
          <w:rFonts w:eastAsiaTheme="minorEastAsia" w:cs="Arial"/>
          <w:sz w:val="22"/>
          <w:lang w:eastAsia="zh-CN"/>
        </w:rPr>
      </w:pPr>
      <w:r w:rsidRPr="00C325A0">
        <w:rPr>
          <w:rFonts w:eastAsiaTheme="minorEastAsia" w:cs="Arial"/>
          <w:sz w:val="22"/>
          <w:lang w:eastAsia="zh-CN"/>
        </w:rPr>
        <w:t xml:space="preserve">In this paper, we </w:t>
      </w:r>
      <w:r>
        <w:rPr>
          <w:rFonts w:eastAsiaTheme="minorEastAsia" w:cs="Arial"/>
          <w:sz w:val="22"/>
          <w:lang w:eastAsia="zh-CN"/>
        </w:rPr>
        <w:t xml:space="preserve">further discuss </w:t>
      </w:r>
      <w:r w:rsidRPr="001C5CFF">
        <w:rPr>
          <w:rFonts w:eastAsiaTheme="minorEastAsia" w:cs="Arial"/>
          <w:sz w:val="22"/>
          <w:lang w:eastAsia="zh-CN"/>
        </w:rPr>
        <w:t>the</w:t>
      </w:r>
      <w:r w:rsidR="00F60450">
        <w:rPr>
          <w:rFonts w:eastAsiaTheme="minorEastAsia" w:cs="Arial"/>
          <w:sz w:val="22"/>
          <w:lang w:eastAsia="zh-CN"/>
        </w:rPr>
        <w:t xml:space="preserve"> SCell dormancy behavior</w:t>
      </w:r>
      <w:r w:rsidR="00786083">
        <w:rPr>
          <w:rFonts w:eastAsiaTheme="minorEastAsia" w:cs="Arial"/>
          <w:sz w:val="22"/>
          <w:lang w:eastAsia="zh-CN"/>
        </w:rPr>
        <w:t xml:space="preserve"> and temporary RS</w:t>
      </w:r>
      <w:bookmarkStart w:id="6" w:name="_GoBack"/>
      <w:bookmarkEnd w:id="6"/>
      <w:r w:rsidR="00980713">
        <w:rPr>
          <w:rFonts w:eastAsiaTheme="minorEastAsia" w:cs="Arial"/>
          <w:sz w:val="22"/>
          <w:lang w:eastAsia="zh-CN"/>
        </w:rPr>
        <w:t>.</w:t>
      </w:r>
    </w:p>
    <w:p w14:paraId="4F7BA184" w14:textId="77777777" w:rsidR="00F116B8" w:rsidRDefault="00F116B8" w:rsidP="00F116B8">
      <w:pPr>
        <w:pStyle w:val="1"/>
        <w:rPr>
          <w:rFonts w:cs="Arial"/>
          <w:color w:val="000000" w:themeColor="text1"/>
        </w:rPr>
      </w:pPr>
      <w:r>
        <w:rPr>
          <w:rFonts w:cs="Arial"/>
          <w:color w:val="000000" w:themeColor="text1"/>
        </w:rPr>
        <w:t>2</w:t>
      </w:r>
      <w:r w:rsidRPr="001F61A8">
        <w:rPr>
          <w:rFonts w:cs="Arial"/>
          <w:color w:val="000000" w:themeColor="text1"/>
        </w:rPr>
        <w:tab/>
      </w:r>
      <w:r>
        <w:rPr>
          <w:rFonts w:cs="Arial"/>
          <w:color w:val="000000" w:themeColor="text1"/>
        </w:rPr>
        <w:t>Discussion</w:t>
      </w:r>
      <w:r w:rsidRPr="00E91736">
        <w:rPr>
          <w:rFonts w:cs="Arial"/>
          <w:color w:val="000000" w:themeColor="text1"/>
        </w:rPr>
        <w:t xml:space="preserve"> </w:t>
      </w:r>
      <w:r>
        <w:rPr>
          <w:rFonts w:cs="Arial"/>
          <w:color w:val="000000" w:themeColor="text1"/>
        </w:rPr>
        <w:t xml:space="preserve">of </w:t>
      </w:r>
      <w:r w:rsidRPr="00A4529D">
        <w:rPr>
          <w:rFonts w:cs="Arial"/>
        </w:rPr>
        <w:t xml:space="preserve">“dormancy” </w:t>
      </w:r>
      <w:r>
        <w:rPr>
          <w:rFonts w:cs="Arial"/>
        </w:rPr>
        <w:t>behaviour on Scell (s)</w:t>
      </w:r>
      <w:r w:rsidRPr="00E91736">
        <w:rPr>
          <w:rFonts w:cs="Arial"/>
          <w:color w:val="000000" w:themeColor="text1"/>
        </w:rPr>
        <w:t xml:space="preserve"> </w:t>
      </w:r>
    </w:p>
    <w:p w14:paraId="2BC6C96F" w14:textId="71F79AEC" w:rsidR="000E5159" w:rsidRDefault="000E5159" w:rsidP="00015E3C">
      <w:pPr>
        <w:jc w:val="both"/>
        <w:rPr>
          <w:rFonts w:ascii="Arial" w:eastAsia="MS Mincho" w:hAnsi="Arial" w:cs="Arial"/>
          <w:b/>
          <w:sz w:val="28"/>
          <w:szCs w:val="28"/>
          <w:u w:val="single"/>
          <w:lang w:val="en-GB"/>
        </w:rPr>
      </w:pPr>
      <w:r>
        <w:rPr>
          <w:rFonts w:ascii="Arial" w:eastAsia="MS Mincho" w:hAnsi="Arial" w:cs="Arial"/>
          <w:b/>
          <w:sz w:val="28"/>
          <w:szCs w:val="28"/>
          <w:u w:val="single"/>
          <w:lang w:val="en-GB"/>
        </w:rPr>
        <w:t>2.1</w:t>
      </w:r>
      <w:r w:rsidRPr="00F116B8">
        <w:rPr>
          <w:rFonts w:ascii="Arial" w:eastAsia="MS Mincho" w:hAnsi="Arial" w:cs="Arial"/>
          <w:b/>
          <w:sz w:val="28"/>
          <w:szCs w:val="28"/>
          <w:u w:val="single"/>
          <w:lang w:val="en-GB"/>
        </w:rPr>
        <w:t xml:space="preserve"> </w:t>
      </w:r>
      <w:r>
        <w:rPr>
          <w:rFonts w:ascii="Arial" w:eastAsia="MS Mincho" w:hAnsi="Arial" w:cs="Arial"/>
          <w:b/>
          <w:sz w:val="28"/>
          <w:szCs w:val="28"/>
          <w:u w:val="single"/>
          <w:lang w:val="en-GB"/>
        </w:rPr>
        <w:t xml:space="preserve">Definition of </w:t>
      </w:r>
      <w:r w:rsidR="00E80035">
        <w:rPr>
          <w:rFonts w:ascii="Arial" w:eastAsia="MS Mincho" w:hAnsi="Arial" w:cs="Arial"/>
          <w:b/>
          <w:sz w:val="28"/>
          <w:szCs w:val="28"/>
          <w:u w:val="single"/>
          <w:lang w:val="en-GB"/>
        </w:rPr>
        <w:t>BWP with dormancy behavior</w:t>
      </w:r>
    </w:p>
    <w:p w14:paraId="071D44F7" w14:textId="5BCCD098" w:rsidR="00E80035" w:rsidRDefault="00804657" w:rsidP="003E3830">
      <w:pPr>
        <w:pStyle w:val="Doc-text2"/>
        <w:tabs>
          <w:tab w:val="left" w:pos="340"/>
        </w:tabs>
        <w:spacing w:before="120" w:after="120"/>
        <w:ind w:left="0" w:firstLine="0"/>
        <w:jc w:val="both"/>
        <w:rPr>
          <w:rFonts w:eastAsiaTheme="minorEastAsia" w:cs="Arial"/>
          <w:sz w:val="22"/>
          <w:lang w:eastAsia="zh-TW"/>
        </w:rPr>
      </w:pPr>
      <w:r>
        <w:rPr>
          <w:rFonts w:eastAsiaTheme="minorEastAsia" w:cs="Arial"/>
          <w:sz w:val="22"/>
          <w:lang w:eastAsia="zh-CN"/>
        </w:rPr>
        <w:t xml:space="preserve">According to </w:t>
      </w:r>
      <w:r w:rsidR="00052CBB">
        <w:rPr>
          <w:rFonts w:eastAsiaTheme="minorEastAsia" w:cs="Arial"/>
          <w:sz w:val="22"/>
          <w:lang w:eastAsia="zh-CN"/>
        </w:rPr>
        <w:t>RAN2 agreement, t</w:t>
      </w:r>
      <w:r w:rsidR="00052CBB" w:rsidRPr="006A1D97">
        <w:rPr>
          <w:rFonts w:eastAsiaTheme="minorEastAsia" w:cs="Arial"/>
          <w:sz w:val="22"/>
          <w:lang w:eastAsia="zh-CN"/>
        </w:rPr>
        <w:t xml:space="preserve">he 'dormancy' behavior implies that the UE stops monitoring PDCCH but continues other activities such as AGC </w:t>
      </w:r>
      <w:r w:rsidR="00052CBB">
        <w:rPr>
          <w:rFonts w:eastAsiaTheme="minorEastAsia" w:cs="Arial"/>
          <w:sz w:val="22"/>
          <w:lang w:eastAsia="zh-CN"/>
        </w:rPr>
        <w:t xml:space="preserve">and RRM measurement, </w:t>
      </w:r>
      <w:r w:rsidR="00052CBB" w:rsidRPr="006A1D97">
        <w:rPr>
          <w:rFonts w:eastAsiaTheme="minorEastAsia" w:cs="Arial"/>
          <w:sz w:val="22"/>
          <w:lang w:eastAsia="zh-CN"/>
        </w:rPr>
        <w:t>CSI measurements, and beam management.</w:t>
      </w:r>
      <w:r w:rsidR="00F74184">
        <w:rPr>
          <w:rFonts w:eastAsiaTheme="minorEastAsia" w:cs="Arial"/>
          <w:sz w:val="22"/>
          <w:lang w:eastAsia="zh-CN"/>
        </w:rPr>
        <w:t xml:space="preserve"> Since RAN1 has agreed to use BWP to achieve dormancy behavior</w:t>
      </w:r>
      <w:r w:rsidR="00D74598">
        <w:rPr>
          <w:rFonts w:eastAsiaTheme="minorEastAsia" w:cs="Arial"/>
          <w:sz w:val="22"/>
          <w:lang w:eastAsia="zh-CN"/>
        </w:rPr>
        <w:t xml:space="preserve"> inside active time</w:t>
      </w:r>
      <w:r w:rsidR="00F74184">
        <w:rPr>
          <w:rFonts w:eastAsiaTheme="minorEastAsia" w:cs="Arial"/>
          <w:sz w:val="22"/>
          <w:lang w:eastAsia="zh-CN"/>
        </w:rPr>
        <w:t>, the definition of BWP</w:t>
      </w:r>
      <w:r w:rsidR="00E80035">
        <w:rPr>
          <w:rFonts w:eastAsiaTheme="minorEastAsia" w:cs="Arial"/>
          <w:sz w:val="22"/>
          <w:lang w:eastAsia="zh-CN"/>
        </w:rPr>
        <w:t xml:space="preserve"> with dormancy behavior</w:t>
      </w:r>
      <w:r w:rsidR="00224280">
        <w:rPr>
          <w:rFonts w:eastAsiaTheme="minorEastAsia" w:cs="Arial" w:hint="eastAsia"/>
          <w:sz w:val="22"/>
          <w:lang w:eastAsia="zh-TW"/>
        </w:rPr>
        <w:t xml:space="preserve"> </w:t>
      </w:r>
      <w:r w:rsidR="00224280">
        <w:rPr>
          <w:rFonts w:eastAsiaTheme="minorEastAsia" w:cs="Arial"/>
          <w:sz w:val="22"/>
          <w:lang w:eastAsia="zh-CN"/>
        </w:rPr>
        <w:t xml:space="preserve">is suggested </w:t>
      </w:r>
      <w:r w:rsidR="00224280">
        <w:rPr>
          <w:rFonts w:eastAsiaTheme="minorEastAsia" w:cs="Arial" w:hint="eastAsia"/>
          <w:sz w:val="22"/>
          <w:lang w:eastAsia="zh-TW"/>
        </w:rPr>
        <w:t>below:</w:t>
      </w:r>
    </w:p>
    <w:p w14:paraId="713A5824" w14:textId="47A15E86" w:rsidR="006A1D9A" w:rsidRPr="00887DB4" w:rsidRDefault="00BD3E6E" w:rsidP="00BD3E6E">
      <w:pPr>
        <w:pStyle w:val="Doc-text2"/>
        <w:tabs>
          <w:tab w:val="left" w:pos="340"/>
        </w:tabs>
        <w:spacing w:before="120" w:after="120"/>
        <w:ind w:left="0" w:firstLine="0"/>
        <w:jc w:val="both"/>
        <w:rPr>
          <w:rFonts w:cs="Arial"/>
          <w:b/>
          <w:sz w:val="22"/>
          <w:shd w:val="clear" w:color="auto" w:fill="FFFFFF"/>
        </w:rPr>
      </w:pPr>
      <w:r w:rsidRPr="00887DB4">
        <w:rPr>
          <w:rFonts w:cs="Arial"/>
          <w:b/>
          <w:sz w:val="22"/>
          <w:u w:val="single"/>
          <w:shd w:val="clear" w:color="auto" w:fill="FFFFFF"/>
        </w:rPr>
        <w:t>Proposal 1:</w:t>
      </w:r>
      <w:r w:rsidRPr="00887DB4">
        <w:rPr>
          <w:b/>
          <w:sz w:val="22"/>
        </w:rPr>
        <w:t xml:space="preserve"> </w:t>
      </w:r>
      <w:r w:rsidR="00E80035" w:rsidRPr="00E80035">
        <w:rPr>
          <w:rFonts w:cs="Arial"/>
          <w:b/>
          <w:sz w:val="22"/>
          <w:shd w:val="clear" w:color="auto" w:fill="FFFFFF"/>
        </w:rPr>
        <w:t>NW indicates the BWP ID</w:t>
      </w:r>
      <w:r w:rsidR="00E80035">
        <w:rPr>
          <w:rFonts w:cs="Arial"/>
          <w:b/>
          <w:sz w:val="22"/>
          <w:shd w:val="clear" w:color="auto" w:fill="FFFFFF"/>
        </w:rPr>
        <w:t xml:space="preserve"> per SCell</w:t>
      </w:r>
      <w:r w:rsidR="00E80035" w:rsidRPr="00E80035">
        <w:rPr>
          <w:rFonts w:cs="Arial"/>
          <w:b/>
          <w:sz w:val="22"/>
          <w:shd w:val="clear" w:color="auto" w:fill="FFFFFF"/>
        </w:rPr>
        <w:t xml:space="preserve"> for dormancy behavior through an optional RRC IE</w:t>
      </w:r>
      <w:r w:rsidR="00E80035">
        <w:rPr>
          <w:rFonts w:cs="Arial"/>
          <w:b/>
          <w:sz w:val="22"/>
          <w:shd w:val="clear" w:color="auto" w:fill="FFFFFF"/>
        </w:rPr>
        <w:t>, ex. Scell-bwp-id-with-dormancy</w:t>
      </w:r>
      <w:r w:rsidR="00E80035" w:rsidRPr="00E80035">
        <w:rPr>
          <w:rFonts w:cs="Arial"/>
          <w:b/>
          <w:sz w:val="22"/>
          <w:shd w:val="clear" w:color="auto" w:fill="FFFFFF"/>
        </w:rPr>
        <w:t xml:space="preserve">. </w:t>
      </w:r>
      <w:r w:rsidR="00E80035" w:rsidRPr="00E80035">
        <w:rPr>
          <w:rFonts w:eastAsiaTheme="minorEastAsia" w:cs="Arial"/>
          <w:b/>
          <w:sz w:val="22"/>
          <w:lang w:eastAsia="zh-TW"/>
        </w:rPr>
        <w:t>For a BWP with dormancy behavior, UE expects the following</w:t>
      </w:r>
      <w:r w:rsidR="00E7414A" w:rsidRPr="00E80035">
        <w:rPr>
          <w:rFonts w:eastAsiaTheme="minorEastAsia" w:cs="Arial"/>
          <w:b/>
          <w:sz w:val="22"/>
          <w:lang w:eastAsia="zh-TW"/>
        </w:rPr>
        <w:t>:</w:t>
      </w:r>
    </w:p>
    <w:p w14:paraId="3E4CCD66" w14:textId="1D39123E" w:rsidR="00BD3E6E" w:rsidRPr="00BD3E6E" w:rsidRDefault="00BD3E6E" w:rsidP="00BD3E6E">
      <w:pPr>
        <w:pStyle w:val="Doc-text2"/>
        <w:numPr>
          <w:ilvl w:val="0"/>
          <w:numId w:val="38"/>
        </w:numPr>
        <w:tabs>
          <w:tab w:val="left" w:pos="340"/>
        </w:tabs>
        <w:spacing w:before="120" w:after="120"/>
        <w:jc w:val="both"/>
        <w:rPr>
          <w:rFonts w:eastAsiaTheme="minorEastAsia" w:cs="Arial"/>
          <w:b/>
          <w:sz w:val="22"/>
          <w:lang w:eastAsia="zh-TW"/>
        </w:rPr>
      </w:pPr>
      <w:r w:rsidRPr="00BD3E6E">
        <w:rPr>
          <w:rFonts w:eastAsiaTheme="minorEastAsia" w:cs="Arial"/>
          <w:b/>
          <w:sz w:val="22"/>
          <w:lang w:eastAsia="zh-TW"/>
        </w:rPr>
        <w:t>For a BWP</w:t>
      </w:r>
      <w:r w:rsidR="00804657">
        <w:rPr>
          <w:rFonts w:eastAsiaTheme="minorEastAsia" w:cs="Arial"/>
          <w:b/>
          <w:sz w:val="22"/>
          <w:lang w:eastAsia="zh-TW"/>
        </w:rPr>
        <w:t xml:space="preserve"> </w:t>
      </w:r>
      <w:r w:rsidR="00804657" w:rsidRPr="00E80035">
        <w:rPr>
          <w:rFonts w:eastAsiaTheme="minorEastAsia" w:cs="Arial"/>
          <w:b/>
          <w:sz w:val="22"/>
          <w:lang w:eastAsia="zh-TW"/>
        </w:rPr>
        <w:t>with dormancy behavior</w:t>
      </w:r>
      <w:r w:rsidRPr="00BD3E6E">
        <w:rPr>
          <w:rFonts w:eastAsiaTheme="minorEastAsia" w:cs="Arial"/>
          <w:b/>
          <w:sz w:val="22"/>
          <w:lang w:eastAsia="zh-TW"/>
        </w:rPr>
        <w:t xml:space="preserve">, periodic CSI measurement and report is configured to maintain downlink channel quality. </w:t>
      </w:r>
    </w:p>
    <w:p w14:paraId="2370A077" w14:textId="77777777" w:rsidR="00BD3E6E" w:rsidRPr="00BD3E6E" w:rsidRDefault="00BD3E6E" w:rsidP="00BD3E6E">
      <w:pPr>
        <w:pStyle w:val="Doc-text2"/>
        <w:numPr>
          <w:ilvl w:val="1"/>
          <w:numId w:val="38"/>
        </w:numPr>
        <w:tabs>
          <w:tab w:val="left" w:pos="340"/>
        </w:tabs>
        <w:spacing w:before="120" w:after="120"/>
        <w:jc w:val="both"/>
        <w:rPr>
          <w:rFonts w:eastAsiaTheme="minorEastAsia" w:cs="Arial"/>
          <w:b/>
          <w:sz w:val="22"/>
          <w:lang w:eastAsia="zh-TW"/>
        </w:rPr>
      </w:pPr>
      <w:r w:rsidRPr="00BD3E6E">
        <w:rPr>
          <w:rFonts w:eastAsiaTheme="minorEastAsia" w:cs="Arial"/>
          <w:b/>
          <w:sz w:val="22"/>
          <w:lang w:eastAsia="zh-TW"/>
        </w:rPr>
        <w:t xml:space="preserve">Though the IE </w:t>
      </w:r>
      <w:r w:rsidRPr="00BD3E6E">
        <w:rPr>
          <w:rFonts w:eastAsiaTheme="minorEastAsia" w:cs="Arial"/>
          <w:b/>
          <w:i/>
          <w:sz w:val="22"/>
          <w:lang w:eastAsia="zh-TW"/>
        </w:rPr>
        <w:t xml:space="preserve">bwp-id </w:t>
      </w:r>
      <w:r w:rsidRPr="00BD3E6E">
        <w:rPr>
          <w:rFonts w:eastAsiaTheme="minorEastAsia" w:cs="Arial"/>
          <w:b/>
          <w:sz w:val="22"/>
          <w:lang w:eastAsia="zh-TW"/>
        </w:rPr>
        <w:t xml:space="preserve">under </w:t>
      </w:r>
      <w:r w:rsidRPr="00BD3E6E">
        <w:rPr>
          <w:rFonts w:eastAsiaTheme="minorEastAsia" w:cs="Arial"/>
          <w:b/>
          <w:i/>
          <w:sz w:val="22"/>
          <w:lang w:eastAsia="zh-TW"/>
        </w:rPr>
        <w:t>CSI-ResourceConfig</w:t>
      </w:r>
    </w:p>
    <w:p w14:paraId="32C8C9FA" w14:textId="0652943B" w:rsidR="00BD3E6E" w:rsidRPr="00BD3E6E" w:rsidRDefault="00804657" w:rsidP="00BD3E6E">
      <w:pPr>
        <w:pStyle w:val="Doc-text2"/>
        <w:numPr>
          <w:ilvl w:val="0"/>
          <w:numId w:val="38"/>
        </w:numPr>
        <w:tabs>
          <w:tab w:val="left" w:pos="340"/>
        </w:tabs>
        <w:spacing w:before="120" w:after="120"/>
        <w:jc w:val="both"/>
        <w:rPr>
          <w:rFonts w:eastAsiaTheme="minorEastAsia" w:cs="Arial"/>
          <w:b/>
          <w:sz w:val="22"/>
          <w:lang w:eastAsia="zh-TW"/>
        </w:rPr>
      </w:pPr>
      <w:r>
        <w:rPr>
          <w:rFonts w:eastAsiaTheme="minorEastAsia" w:cs="Arial"/>
          <w:b/>
          <w:sz w:val="22"/>
          <w:lang w:eastAsia="zh-TW"/>
        </w:rPr>
        <w:t xml:space="preserve">For a </w:t>
      </w:r>
      <w:r w:rsidR="00BD3E6E" w:rsidRPr="00BD3E6E">
        <w:rPr>
          <w:rFonts w:eastAsiaTheme="minorEastAsia" w:cs="Arial"/>
          <w:b/>
          <w:sz w:val="22"/>
          <w:lang w:eastAsia="zh-TW"/>
        </w:rPr>
        <w:t>BWP</w:t>
      </w:r>
      <w:r>
        <w:rPr>
          <w:rFonts w:eastAsiaTheme="minorEastAsia" w:cs="Arial"/>
          <w:b/>
          <w:sz w:val="22"/>
          <w:lang w:eastAsia="zh-TW"/>
        </w:rPr>
        <w:t xml:space="preserve"> </w:t>
      </w:r>
      <w:r w:rsidRPr="00E80035">
        <w:rPr>
          <w:rFonts w:eastAsiaTheme="minorEastAsia" w:cs="Arial"/>
          <w:b/>
          <w:sz w:val="22"/>
          <w:lang w:eastAsia="zh-TW"/>
        </w:rPr>
        <w:t>with dormancy behavior</w:t>
      </w:r>
      <w:r w:rsidR="00BD3E6E" w:rsidRPr="00BD3E6E">
        <w:rPr>
          <w:rFonts w:eastAsiaTheme="minorEastAsia" w:cs="Arial"/>
          <w:b/>
          <w:sz w:val="22"/>
          <w:lang w:eastAsia="zh-TW"/>
        </w:rPr>
        <w:t xml:space="preserve">, periodic SRS resource is configured to maintain uplink channel quality </w:t>
      </w:r>
    </w:p>
    <w:p w14:paraId="16586B9A" w14:textId="73393224" w:rsidR="00AB7F9C" w:rsidRPr="00AB7F9C" w:rsidRDefault="00BD3E6E" w:rsidP="00AB7F9C">
      <w:pPr>
        <w:pStyle w:val="Doc-text2"/>
        <w:numPr>
          <w:ilvl w:val="1"/>
          <w:numId w:val="38"/>
        </w:numPr>
        <w:tabs>
          <w:tab w:val="left" w:pos="340"/>
        </w:tabs>
        <w:spacing w:before="120" w:after="120"/>
        <w:jc w:val="both"/>
        <w:rPr>
          <w:rFonts w:eastAsiaTheme="minorEastAsia" w:cs="Arial"/>
          <w:b/>
          <w:sz w:val="22"/>
          <w:lang w:eastAsia="zh-TW"/>
        </w:rPr>
      </w:pPr>
      <w:r w:rsidRPr="00BD3E6E">
        <w:rPr>
          <w:rFonts w:eastAsiaTheme="minorEastAsia" w:cs="Arial"/>
          <w:b/>
          <w:sz w:val="22"/>
          <w:lang w:eastAsia="zh-TW"/>
        </w:rPr>
        <w:t xml:space="preserve">Through the IE </w:t>
      </w:r>
      <w:r w:rsidRPr="00BD3E6E">
        <w:rPr>
          <w:rFonts w:eastAsiaTheme="minorEastAsia" w:cs="Arial"/>
          <w:b/>
          <w:i/>
          <w:sz w:val="22"/>
          <w:lang w:eastAsia="zh-TW"/>
        </w:rPr>
        <w:t>srs-Config</w:t>
      </w:r>
      <w:r w:rsidRPr="00BD3E6E">
        <w:rPr>
          <w:rFonts w:eastAsiaTheme="minorEastAsia" w:cs="Arial"/>
          <w:b/>
          <w:sz w:val="22"/>
          <w:lang w:eastAsia="zh-TW"/>
        </w:rPr>
        <w:t xml:space="preserve"> under </w:t>
      </w:r>
      <w:r w:rsidRPr="00BD3E6E">
        <w:rPr>
          <w:rFonts w:eastAsiaTheme="minorEastAsia" w:cs="Arial"/>
          <w:b/>
          <w:i/>
          <w:sz w:val="22"/>
          <w:lang w:eastAsia="zh-TW"/>
        </w:rPr>
        <w:t>BWP-UplinkDedicated</w:t>
      </w:r>
    </w:p>
    <w:p w14:paraId="7A5C3440" w14:textId="54EB99A1" w:rsidR="008E07A9" w:rsidRDefault="008E07A9" w:rsidP="00AB7F9C">
      <w:pPr>
        <w:pStyle w:val="Doc-text2"/>
        <w:tabs>
          <w:tab w:val="left" w:pos="340"/>
        </w:tabs>
        <w:spacing w:before="120" w:after="120"/>
        <w:ind w:left="0" w:firstLine="0"/>
        <w:jc w:val="both"/>
        <w:rPr>
          <w:rFonts w:eastAsiaTheme="minorEastAsia" w:cs="Arial"/>
          <w:b/>
          <w:sz w:val="22"/>
          <w:lang w:eastAsia="zh-TW"/>
        </w:rPr>
      </w:pPr>
      <w:r>
        <w:rPr>
          <w:rFonts w:cs="Arial"/>
          <w:b/>
          <w:sz w:val="22"/>
          <w:u w:val="single"/>
          <w:shd w:val="clear" w:color="auto" w:fill="FFFFFF"/>
        </w:rPr>
        <w:t>Proposal 2</w:t>
      </w:r>
      <w:r w:rsidRPr="00887DB4">
        <w:rPr>
          <w:rFonts w:cs="Arial"/>
          <w:b/>
          <w:sz w:val="22"/>
          <w:u w:val="single"/>
          <w:shd w:val="clear" w:color="auto" w:fill="FFFFFF"/>
        </w:rPr>
        <w:t>:</w:t>
      </w:r>
    </w:p>
    <w:p w14:paraId="5924BF72" w14:textId="23D7A58D" w:rsidR="00AB7F9C" w:rsidRDefault="00E80035" w:rsidP="00AB7F9C">
      <w:pPr>
        <w:pStyle w:val="Doc-text2"/>
        <w:tabs>
          <w:tab w:val="left" w:pos="340"/>
        </w:tabs>
        <w:spacing w:before="120" w:after="120"/>
        <w:ind w:left="0" w:firstLine="0"/>
        <w:jc w:val="both"/>
        <w:rPr>
          <w:rFonts w:eastAsiaTheme="minorEastAsia" w:cs="Arial"/>
          <w:b/>
          <w:sz w:val="22"/>
          <w:lang w:eastAsia="zh-TW"/>
        </w:rPr>
      </w:pPr>
      <w:r>
        <w:rPr>
          <w:rFonts w:eastAsiaTheme="minorEastAsia" w:cs="Arial"/>
          <w:b/>
          <w:sz w:val="22"/>
          <w:lang w:eastAsia="zh-TW"/>
        </w:rPr>
        <w:t xml:space="preserve">For a </w:t>
      </w:r>
      <w:r w:rsidR="00804657" w:rsidRPr="00BD3E6E">
        <w:rPr>
          <w:rFonts w:eastAsiaTheme="minorEastAsia" w:cs="Arial"/>
          <w:b/>
          <w:sz w:val="22"/>
          <w:lang w:eastAsia="zh-TW"/>
        </w:rPr>
        <w:t>BWP</w:t>
      </w:r>
      <w:r w:rsidR="00804657">
        <w:rPr>
          <w:rFonts w:eastAsiaTheme="minorEastAsia" w:cs="Arial"/>
          <w:b/>
          <w:sz w:val="22"/>
          <w:lang w:eastAsia="zh-TW"/>
        </w:rPr>
        <w:t xml:space="preserve"> </w:t>
      </w:r>
      <w:r w:rsidR="00804657" w:rsidRPr="00E80035">
        <w:rPr>
          <w:rFonts w:eastAsiaTheme="minorEastAsia" w:cs="Arial"/>
          <w:b/>
          <w:sz w:val="22"/>
          <w:lang w:eastAsia="zh-TW"/>
        </w:rPr>
        <w:t>with dormancy behavior</w:t>
      </w:r>
      <w:r>
        <w:rPr>
          <w:rFonts w:eastAsiaTheme="minorEastAsia" w:cs="Arial"/>
          <w:b/>
          <w:sz w:val="22"/>
          <w:lang w:eastAsia="zh-TW"/>
        </w:rPr>
        <w:t xml:space="preserve">, </w:t>
      </w:r>
      <w:r w:rsidR="00AB7F9C">
        <w:rPr>
          <w:rFonts w:eastAsiaTheme="minorEastAsia" w:cs="Arial"/>
          <w:b/>
          <w:sz w:val="22"/>
          <w:lang w:eastAsia="zh-TW"/>
        </w:rPr>
        <w:t>UE implements no PDCCH monitoring by</w:t>
      </w:r>
    </w:p>
    <w:p w14:paraId="59EF0B9E" w14:textId="4E420666" w:rsidR="00AB7F9C" w:rsidRDefault="00AB7F9C" w:rsidP="00AB7F9C">
      <w:pPr>
        <w:pStyle w:val="Doc-text2"/>
        <w:numPr>
          <w:ilvl w:val="0"/>
          <w:numId w:val="38"/>
        </w:numPr>
        <w:tabs>
          <w:tab w:val="left" w:pos="340"/>
        </w:tabs>
        <w:spacing w:before="120" w:after="120"/>
        <w:jc w:val="both"/>
        <w:rPr>
          <w:rFonts w:eastAsiaTheme="minorEastAsia" w:cs="Arial"/>
          <w:b/>
          <w:sz w:val="22"/>
          <w:lang w:eastAsia="zh-TW"/>
        </w:rPr>
      </w:pPr>
      <w:r>
        <w:rPr>
          <w:rFonts w:eastAsiaTheme="minorEastAsia" w:cs="Arial"/>
          <w:b/>
          <w:sz w:val="22"/>
          <w:lang w:eastAsia="zh-TW"/>
        </w:rPr>
        <w:lastRenderedPageBreak/>
        <w:t xml:space="preserve">Specifying a UE behavior that </w:t>
      </w:r>
      <w:r w:rsidR="00E80035">
        <w:rPr>
          <w:rFonts w:eastAsiaTheme="minorEastAsia" w:cs="Arial"/>
          <w:b/>
          <w:sz w:val="22"/>
          <w:lang w:eastAsia="zh-TW"/>
        </w:rPr>
        <w:t>UE does not monitor PDCCH on a BWP</w:t>
      </w:r>
      <w:r w:rsidR="00804657">
        <w:rPr>
          <w:rFonts w:eastAsiaTheme="minorEastAsia" w:cs="Arial"/>
          <w:b/>
          <w:sz w:val="22"/>
          <w:lang w:eastAsia="zh-TW"/>
        </w:rPr>
        <w:t xml:space="preserve"> </w:t>
      </w:r>
      <w:r w:rsidR="00804657" w:rsidRPr="00E80035">
        <w:rPr>
          <w:rFonts w:eastAsiaTheme="minorEastAsia" w:cs="Arial"/>
          <w:b/>
          <w:sz w:val="22"/>
          <w:lang w:eastAsia="zh-TW"/>
        </w:rPr>
        <w:t>with dormancy behavior</w:t>
      </w:r>
      <w:r w:rsidR="00E80035">
        <w:rPr>
          <w:rFonts w:eastAsiaTheme="minorEastAsia" w:cs="Arial"/>
          <w:b/>
          <w:sz w:val="22"/>
          <w:lang w:eastAsia="zh-TW"/>
        </w:rPr>
        <w:t xml:space="preserve"> </w:t>
      </w:r>
      <w:r>
        <w:rPr>
          <w:rFonts w:eastAsiaTheme="minorEastAsia" w:cs="Arial"/>
          <w:b/>
          <w:sz w:val="22"/>
          <w:lang w:eastAsia="zh-TW"/>
        </w:rPr>
        <w:t>(</w:t>
      </w:r>
      <w:r w:rsidR="00E80035">
        <w:rPr>
          <w:rFonts w:eastAsiaTheme="minorEastAsia" w:cs="Arial"/>
          <w:b/>
          <w:sz w:val="22"/>
          <w:lang w:eastAsia="zh-TW"/>
        </w:rPr>
        <w:t>spec impact on</w:t>
      </w:r>
      <w:r>
        <w:rPr>
          <w:rFonts w:eastAsiaTheme="minorEastAsia" w:cs="Arial"/>
          <w:b/>
          <w:sz w:val="22"/>
          <w:lang w:eastAsia="zh-TW"/>
        </w:rPr>
        <w:t xml:space="preserve"> 38.213)</w:t>
      </w:r>
    </w:p>
    <w:p w14:paraId="6685EB9D" w14:textId="67C7DD7D" w:rsidR="00AB7F9C" w:rsidRPr="00BD3E6E" w:rsidRDefault="00AB7F9C" w:rsidP="00AB7F9C">
      <w:pPr>
        <w:pStyle w:val="Doc-text2"/>
        <w:numPr>
          <w:ilvl w:val="0"/>
          <w:numId w:val="38"/>
        </w:numPr>
        <w:tabs>
          <w:tab w:val="left" w:pos="340"/>
        </w:tabs>
        <w:spacing w:before="120" w:after="120"/>
        <w:jc w:val="both"/>
        <w:rPr>
          <w:rFonts w:eastAsiaTheme="minorEastAsia" w:cs="Arial"/>
          <w:b/>
          <w:sz w:val="22"/>
          <w:lang w:eastAsia="zh-TW"/>
        </w:rPr>
      </w:pPr>
      <w:r>
        <w:rPr>
          <w:rFonts w:eastAsiaTheme="minorEastAsia" w:cs="Arial" w:hint="eastAsia"/>
          <w:b/>
          <w:sz w:val="22"/>
          <w:lang w:eastAsia="zh-TW"/>
        </w:rPr>
        <w:t>BWP c</w:t>
      </w:r>
      <w:r>
        <w:rPr>
          <w:rFonts w:eastAsiaTheme="minorEastAsia" w:cs="Arial"/>
          <w:b/>
          <w:sz w:val="22"/>
          <w:lang w:eastAsia="zh-TW"/>
        </w:rPr>
        <w:t>onfiguration (no spec impact)</w:t>
      </w:r>
    </w:p>
    <w:p w14:paraId="09180A9F" w14:textId="77777777" w:rsidR="008E07A9" w:rsidRDefault="008E07A9" w:rsidP="003E3830">
      <w:pPr>
        <w:pStyle w:val="Doc-text2"/>
        <w:tabs>
          <w:tab w:val="left" w:pos="340"/>
        </w:tabs>
        <w:spacing w:before="120" w:after="120"/>
        <w:ind w:left="0" w:firstLine="0"/>
        <w:jc w:val="both"/>
        <w:rPr>
          <w:rFonts w:eastAsiaTheme="minorEastAsia" w:cs="Arial"/>
          <w:sz w:val="22"/>
          <w:lang w:eastAsia="zh-CN"/>
        </w:rPr>
      </w:pPr>
    </w:p>
    <w:p w14:paraId="734D0D3B" w14:textId="651D057A" w:rsidR="00BC0BFC" w:rsidRDefault="00A85488" w:rsidP="003E3830">
      <w:pPr>
        <w:pStyle w:val="Doc-text2"/>
        <w:tabs>
          <w:tab w:val="left" w:pos="340"/>
        </w:tabs>
        <w:spacing w:before="120" w:after="120"/>
        <w:ind w:left="0" w:firstLine="0"/>
        <w:jc w:val="both"/>
        <w:rPr>
          <w:rFonts w:eastAsiaTheme="minorEastAsia" w:cs="Arial"/>
          <w:sz w:val="22"/>
          <w:lang w:eastAsia="zh-TW"/>
        </w:rPr>
      </w:pPr>
      <w:r>
        <w:rPr>
          <w:rFonts w:eastAsiaTheme="minorEastAsia" w:cs="Arial"/>
          <w:sz w:val="22"/>
          <w:lang w:eastAsia="zh-CN"/>
        </w:rPr>
        <w:t xml:space="preserve">As for the </w:t>
      </w:r>
      <w:r w:rsidR="00E80035">
        <w:rPr>
          <w:rFonts w:eastAsiaTheme="minorEastAsia" w:cs="Arial"/>
          <w:sz w:val="22"/>
          <w:lang w:eastAsia="zh-CN"/>
        </w:rPr>
        <w:t>switch delay between BWP with dormancy behavior and BWP with non-dormancy behavior, we have the following proposal:</w:t>
      </w:r>
    </w:p>
    <w:p w14:paraId="269AF3A9" w14:textId="46E4149A" w:rsidR="00BC0BFC" w:rsidRDefault="004604B0" w:rsidP="003E3830">
      <w:pPr>
        <w:pStyle w:val="Doc-text2"/>
        <w:tabs>
          <w:tab w:val="left" w:pos="340"/>
        </w:tabs>
        <w:spacing w:before="120" w:after="120"/>
        <w:ind w:left="0" w:firstLine="0"/>
        <w:jc w:val="both"/>
        <w:rPr>
          <w:rFonts w:eastAsiaTheme="minorEastAsia" w:cs="Arial"/>
          <w:b/>
          <w:sz w:val="22"/>
          <w:lang w:eastAsia="zh-TW"/>
        </w:rPr>
      </w:pPr>
      <w:r>
        <w:rPr>
          <w:rFonts w:cs="Arial"/>
          <w:b/>
          <w:sz w:val="22"/>
          <w:u w:val="single"/>
          <w:shd w:val="clear" w:color="auto" w:fill="FFFFFF"/>
        </w:rPr>
        <w:t>Proposal 3</w:t>
      </w:r>
      <w:r w:rsidR="00A85488" w:rsidRPr="00887DB4">
        <w:rPr>
          <w:rFonts w:cs="Arial"/>
          <w:b/>
          <w:sz w:val="22"/>
          <w:u w:val="single"/>
          <w:shd w:val="clear" w:color="auto" w:fill="FFFFFF"/>
        </w:rPr>
        <w:t>:</w:t>
      </w:r>
      <w:r w:rsidR="00A85488" w:rsidRPr="00A85488">
        <w:rPr>
          <w:rFonts w:eastAsiaTheme="minorEastAsia" w:cs="Arial"/>
          <w:b/>
          <w:sz w:val="22"/>
          <w:lang w:eastAsia="zh-TW"/>
        </w:rPr>
        <w:t xml:space="preserve"> </w:t>
      </w:r>
      <w:r w:rsidR="00BC0BFC">
        <w:rPr>
          <w:rFonts w:eastAsiaTheme="minorEastAsia" w:cs="Arial"/>
          <w:b/>
          <w:sz w:val="22"/>
          <w:lang w:eastAsia="zh-TW"/>
        </w:rPr>
        <w:t xml:space="preserve">RAN1 </w:t>
      </w:r>
      <w:r w:rsidR="00A85488">
        <w:rPr>
          <w:rFonts w:eastAsiaTheme="minorEastAsia" w:cs="Arial"/>
          <w:b/>
          <w:sz w:val="22"/>
          <w:lang w:eastAsia="zh-TW"/>
        </w:rPr>
        <w:t>send</w:t>
      </w:r>
      <w:r w:rsidR="005B30A4">
        <w:rPr>
          <w:rFonts w:eastAsiaTheme="minorEastAsia" w:cs="Arial"/>
          <w:b/>
          <w:sz w:val="22"/>
          <w:lang w:eastAsia="zh-TW"/>
        </w:rPr>
        <w:t>s</w:t>
      </w:r>
      <w:r w:rsidR="00A85488">
        <w:rPr>
          <w:rFonts w:eastAsiaTheme="minorEastAsia" w:cs="Arial"/>
          <w:b/>
          <w:sz w:val="22"/>
          <w:lang w:eastAsia="zh-TW"/>
        </w:rPr>
        <w:t xml:space="preserve"> an LS to RAN4</w:t>
      </w:r>
      <w:r w:rsidR="00BC0BFC">
        <w:rPr>
          <w:rFonts w:eastAsiaTheme="minorEastAsia" w:cs="Arial"/>
          <w:b/>
          <w:sz w:val="22"/>
          <w:lang w:eastAsia="zh-TW"/>
        </w:rPr>
        <w:t xml:space="preserve"> to decide BWP switch delay requirement regarding</w:t>
      </w:r>
    </w:p>
    <w:p w14:paraId="7F0622EE" w14:textId="4A4B5587" w:rsidR="00BC0BFC" w:rsidRDefault="00BC0BFC" w:rsidP="00211BCD">
      <w:pPr>
        <w:pStyle w:val="Doc-text2"/>
        <w:numPr>
          <w:ilvl w:val="0"/>
          <w:numId w:val="38"/>
        </w:numPr>
        <w:tabs>
          <w:tab w:val="left" w:pos="340"/>
        </w:tabs>
        <w:spacing w:before="120" w:after="120"/>
        <w:jc w:val="both"/>
        <w:rPr>
          <w:rFonts w:eastAsiaTheme="minorEastAsia" w:cs="Arial"/>
          <w:b/>
          <w:sz w:val="22"/>
          <w:lang w:eastAsia="zh-TW"/>
        </w:rPr>
      </w:pPr>
      <w:r>
        <w:rPr>
          <w:rFonts w:eastAsiaTheme="minorEastAsia" w:cs="Arial"/>
          <w:b/>
          <w:sz w:val="22"/>
          <w:lang w:eastAsia="zh-TW"/>
        </w:rPr>
        <w:t>The definition of BWP</w:t>
      </w:r>
      <w:r w:rsidR="004604B0">
        <w:rPr>
          <w:rFonts w:eastAsiaTheme="minorEastAsia" w:cs="Arial"/>
          <w:b/>
          <w:sz w:val="22"/>
          <w:lang w:eastAsia="zh-TW"/>
        </w:rPr>
        <w:t xml:space="preserve"> with dormancy behavior</w:t>
      </w:r>
    </w:p>
    <w:p w14:paraId="04DACCAA" w14:textId="39230C6D" w:rsidR="00A174AF" w:rsidRPr="00A85488" w:rsidRDefault="00BC0BFC" w:rsidP="00211BCD">
      <w:pPr>
        <w:pStyle w:val="Doc-text2"/>
        <w:numPr>
          <w:ilvl w:val="0"/>
          <w:numId w:val="38"/>
        </w:numPr>
        <w:tabs>
          <w:tab w:val="left" w:pos="340"/>
        </w:tabs>
        <w:spacing w:before="120" w:after="120"/>
        <w:jc w:val="both"/>
        <w:rPr>
          <w:rFonts w:eastAsiaTheme="minorEastAsia" w:cs="Arial"/>
          <w:b/>
          <w:sz w:val="22"/>
          <w:lang w:eastAsia="zh-TW"/>
        </w:rPr>
      </w:pPr>
      <w:r>
        <w:rPr>
          <w:rFonts w:eastAsiaTheme="minorEastAsia" w:cs="Arial"/>
          <w:b/>
          <w:sz w:val="22"/>
          <w:lang w:eastAsia="zh-TW"/>
        </w:rPr>
        <w:t>Jointly considering the power saving techniques adaptation</w:t>
      </w:r>
      <w:r w:rsidR="004604B0">
        <w:rPr>
          <w:rFonts w:eastAsiaTheme="minorEastAsia" w:cs="Arial"/>
          <w:b/>
          <w:sz w:val="22"/>
          <w:lang w:eastAsia="zh-TW"/>
        </w:rPr>
        <w:t xml:space="preserve"> delay</w:t>
      </w:r>
      <w:r>
        <w:rPr>
          <w:rFonts w:eastAsiaTheme="minorEastAsia" w:cs="Arial"/>
          <w:b/>
          <w:sz w:val="22"/>
          <w:lang w:eastAsia="zh-TW"/>
        </w:rPr>
        <w:t xml:space="preserve"> to</w:t>
      </w:r>
      <w:r w:rsidR="00A85488">
        <w:rPr>
          <w:rFonts w:eastAsiaTheme="minorEastAsia" w:cs="Arial"/>
          <w:b/>
          <w:sz w:val="22"/>
          <w:lang w:eastAsia="zh-TW"/>
        </w:rPr>
        <w:t xml:space="preserve"> </w:t>
      </w:r>
      <w:r>
        <w:rPr>
          <w:rFonts w:eastAsiaTheme="minorEastAsia" w:cs="Arial"/>
          <w:b/>
          <w:sz w:val="22"/>
          <w:lang w:eastAsia="zh-TW"/>
        </w:rPr>
        <w:t>SCell dormancy, maximum number of MIMO layer</w:t>
      </w:r>
      <w:r w:rsidR="004604B0">
        <w:rPr>
          <w:rFonts w:eastAsiaTheme="minorEastAsia" w:cs="Arial"/>
          <w:b/>
          <w:sz w:val="22"/>
          <w:lang w:eastAsia="zh-TW"/>
        </w:rPr>
        <w:t>s</w:t>
      </w:r>
      <w:r>
        <w:rPr>
          <w:rFonts w:eastAsiaTheme="minorEastAsia" w:cs="Arial"/>
          <w:b/>
          <w:sz w:val="22"/>
          <w:lang w:eastAsia="zh-TW"/>
        </w:rPr>
        <w:t>, and cross-slot scheduling, aiming for a unified requirement for power saving purpose.</w:t>
      </w:r>
    </w:p>
    <w:p w14:paraId="2DB34F03" w14:textId="77777777" w:rsidR="00A85488" w:rsidRDefault="00A85488" w:rsidP="003E3830">
      <w:pPr>
        <w:pStyle w:val="Doc-text2"/>
        <w:tabs>
          <w:tab w:val="left" w:pos="340"/>
        </w:tabs>
        <w:spacing w:before="120" w:after="120"/>
        <w:ind w:left="0" w:firstLine="0"/>
        <w:jc w:val="both"/>
        <w:rPr>
          <w:rFonts w:cs="Arial"/>
          <w:b/>
          <w:sz w:val="28"/>
          <w:szCs w:val="28"/>
          <w:u w:val="single"/>
          <w:lang w:val="en-GB"/>
        </w:rPr>
      </w:pPr>
    </w:p>
    <w:p w14:paraId="04194B72" w14:textId="412CD37E" w:rsidR="00BD3E6E" w:rsidRDefault="00A174AF" w:rsidP="003E3830">
      <w:pPr>
        <w:pStyle w:val="Doc-text2"/>
        <w:tabs>
          <w:tab w:val="left" w:pos="340"/>
        </w:tabs>
        <w:spacing w:before="120" w:after="120"/>
        <w:ind w:left="0" w:firstLine="0"/>
        <w:jc w:val="both"/>
        <w:rPr>
          <w:rFonts w:eastAsiaTheme="minorEastAsia" w:cs="Arial"/>
          <w:sz w:val="22"/>
          <w:lang w:eastAsia="zh-TW"/>
        </w:rPr>
      </w:pPr>
      <w:r>
        <w:rPr>
          <w:rFonts w:cs="Arial"/>
          <w:b/>
          <w:sz w:val="28"/>
          <w:szCs w:val="28"/>
          <w:u w:val="single"/>
          <w:lang w:val="en-GB"/>
        </w:rPr>
        <w:t>2.2 BWP</w:t>
      </w:r>
      <w:r w:rsidR="004604B0">
        <w:rPr>
          <w:rFonts w:cs="Arial"/>
          <w:b/>
          <w:sz w:val="28"/>
          <w:szCs w:val="28"/>
          <w:u w:val="single"/>
          <w:lang w:val="en-GB"/>
        </w:rPr>
        <w:t xml:space="preserve"> with dormancy behavior</w:t>
      </w:r>
      <w:r>
        <w:rPr>
          <w:rFonts w:cs="Arial"/>
          <w:b/>
          <w:sz w:val="28"/>
          <w:szCs w:val="28"/>
          <w:u w:val="single"/>
          <w:lang w:val="en-GB"/>
        </w:rPr>
        <w:t xml:space="preserve"> and default BWP</w:t>
      </w:r>
    </w:p>
    <w:p w14:paraId="1025A008" w14:textId="5970092A" w:rsidR="00FB037B" w:rsidRDefault="003E3830" w:rsidP="003E3830">
      <w:pPr>
        <w:pStyle w:val="Doc-text2"/>
        <w:tabs>
          <w:tab w:val="left" w:pos="340"/>
        </w:tabs>
        <w:spacing w:before="120" w:after="120"/>
        <w:ind w:left="0" w:firstLine="0"/>
        <w:jc w:val="both"/>
        <w:rPr>
          <w:rFonts w:eastAsiaTheme="minorEastAsia" w:cs="Arial"/>
          <w:sz w:val="22"/>
          <w:lang w:eastAsia="zh-CN"/>
        </w:rPr>
      </w:pPr>
      <w:r w:rsidRPr="003E3830">
        <w:rPr>
          <w:rFonts w:eastAsiaTheme="minorEastAsia" w:cs="Arial"/>
          <w:sz w:val="22"/>
          <w:lang w:eastAsia="zh-CN"/>
        </w:rPr>
        <w:t>For</w:t>
      </w:r>
      <w:r w:rsidR="00FB037B">
        <w:rPr>
          <w:rFonts w:eastAsiaTheme="minorEastAsia" w:cs="Arial"/>
          <w:sz w:val="22"/>
          <w:lang w:eastAsia="zh-CN"/>
        </w:rPr>
        <w:t xml:space="preserve"> existing BWP operations</w:t>
      </w:r>
      <w:r w:rsidR="00BD3E6E">
        <w:rPr>
          <w:rFonts w:eastAsiaTheme="minorEastAsia" w:cs="Arial"/>
          <w:sz w:val="22"/>
          <w:lang w:eastAsia="zh-CN"/>
        </w:rPr>
        <w:t>, we have</w:t>
      </w:r>
      <w:r w:rsidR="00FB037B">
        <w:rPr>
          <w:rFonts w:eastAsiaTheme="minorEastAsia" w:cs="Arial"/>
          <w:sz w:val="22"/>
          <w:lang w:eastAsia="zh-CN"/>
        </w:rPr>
        <w:t>:</w:t>
      </w:r>
      <w:r>
        <w:rPr>
          <w:rFonts w:eastAsiaTheme="minorEastAsia" w:cs="Arial"/>
          <w:sz w:val="22"/>
          <w:lang w:eastAsia="zh-CN"/>
        </w:rPr>
        <w:t xml:space="preserve"> </w:t>
      </w:r>
    </w:p>
    <w:p w14:paraId="6B095831" w14:textId="7FA4045C" w:rsidR="000E5159" w:rsidRDefault="00FB037B" w:rsidP="00FB037B">
      <w:pPr>
        <w:pStyle w:val="Doc-text2"/>
        <w:numPr>
          <w:ilvl w:val="0"/>
          <w:numId w:val="40"/>
        </w:numPr>
        <w:tabs>
          <w:tab w:val="left" w:pos="340"/>
        </w:tabs>
        <w:spacing w:before="120" w:after="120"/>
        <w:jc w:val="both"/>
        <w:rPr>
          <w:rFonts w:eastAsiaTheme="minorEastAsia" w:cs="Arial"/>
          <w:sz w:val="22"/>
          <w:lang w:eastAsia="zh-CN"/>
        </w:rPr>
      </w:pPr>
      <w:r>
        <w:rPr>
          <w:rFonts w:eastAsiaTheme="minorEastAsia" w:cs="Arial"/>
          <w:sz w:val="22"/>
          <w:lang w:eastAsia="zh-CN"/>
        </w:rPr>
        <w:t xml:space="preserve">Initial BWP: </w:t>
      </w:r>
      <w:r w:rsidR="00BD3E6E">
        <w:rPr>
          <w:rFonts w:eastAsiaTheme="minorEastAsia" w:cs="Arial"/>
          <w:sz w:val="22"/>
          <w:lang w:eastAsia="zh-CN"/>
        </w:rPr>
        <w:t>The</w:t>
      </w:r>
      <w:r>
        <w:rPr>
          <w:rFonts w:eastAsiaTheme="minorEastAsia" w:cs="Arial"/>
          <w:sz w:val="22"/>
          <w:lang w:eastAsia="zh-CN"/>
        </w:rPr>
        <w:t xml:space="preserve"> BWP </w:t>
      </w:r>
      <w:r w:rsidR="00BD3E6E">
        <w:rPr>
          <w:rFonts w:eastAsiaTheme="minorEastAsia" w:cs="Arial"/>
          <w:sz w:val="22"/>
          <w:lang w:eastAsia="zh-CN"/>
        </w:rPr>
        <w:t xml:space="preserve">UE used </w:t>
      </w:r>
      <w:r>
        <w:rPr>
          <w:rFonts w:eastAsiaTheme="minorEastAsia" w:cs="Arial"/>
          <w:sz w:val="22"/>
          <w:lang w:eastAsia="zh-CN"/>
        </w:rPr>
        <w:t>to do initial access</w:t>
      </w:r>
    </w:p>
    <w:p w14:paraId="05415253" w14:textId="68EB4CEC" w:rsidR="00FB037B" w:rsidRDefault="00FB037B" w:rsidP="00FB037B">
      <w:pPr>
        <w:pStyle w:val="Doc-text2"/>
        <w:numPr>
          <w:ilvl w:val="0"/>
          <w:numId w:val="40"/>
        </w:numPr>
        <w:tabs>
          <w:tab w:val="left" w:pos="340"/>
        </w:tabs>
        <w:spacing w:before="120" w:after="120"/>
        <w:jc w:val="both"/>
        <w:rPr>
          <w:rFonts w:eastAsiaTheme="minorEastAsia" w:cs="Arial"/>
          <w:sz w:val="22"/>
          <w:lang w:eastAsia="zh-CN"/>
        </w:rPr>
      </w:pPr>
      <w:r>
        <w:rPr>
          <w:rFonts w:eastAsiaTheme="minorEastAsia" w:cs="Arial"/>
          <w:sz w:val="22"/>
          <w:lang w:eastAsia="zh-CN"/>
        </w:rPr>
        <w:t xml:space="preserve">Default BWP: </w:t>
      </w:r>
      <w:r w:rsidR="00BD3E6E">
        <w:rPr>
          <w:rFonts w:eastAsiaTheme="minorEastAsia" w:cs="Arial"/>
          <w:sz w:val="22"/>
          <w:lang w:eastAsia="zh-CN"/>
        </w:rPr>
        <w:t>Downlink BWP</w:t>
      </w:r>
      <w:r w:rsidRPr="00FB037B">
        <w:rPr>
          <w:rFonts w:eastAsiaTheme="minorEastAsia" w:cs="Arial"/>
          <w:sz w:val="22"/>
          <w:lang w:eastAsia="zh-CN"/>
        </w:rPr>
        <w:t xml:space="preserve"> to be used upon expiry </w:t>
      </w:r>
      <w:r>
        <w:rPr>
          <w:rFonts w:eastAsiaTheme="minorEastAsia" w:cs="Arial"/>
          <w:sz w:val="22"/>
          <w:lang w:eastAsia="zh-CN"/>
        </w:rPr>
        <w:t>of the BWP inactivity time. If</w:t>
      </w:r>
      <w:r w:rsidRPr="00FB037B">
        <w:rPr>
          <w:rFonts w:eastAsiaTheme="minorEastAsia" w:cs="Arial"/>
          <w:sz w:val="22"/>
          <w:lang w:eastAsia="zh-CN"/>
        </w:rPr>
        <w:t xml:space="preserve"> this field is absent</w:t>
      </w:r>
      <w:r>
        <w:rPr>
          <w:rFonts w:eastAsiaTheme="minorEastAsia" w:cs="Arial"/>
          <w:sz w:val="22"/>
          <w:lang w:eastAsia="zh-CN"/>
        </w:rPr>
        <w:t>,</w:t>
      </w:r>
      <w:r w:rsidRPr="00FB037B">
        <w:rPr>
          <w:rFonts w:eastAsiaTheme="minorEastAsia" w:cs="Arial"/>
          <w:sz w:val="22"/>
          <w:lang w:eastAsia="zh-CN"/>
        </w:rPr>
        <w:t xml:space="preserve"> then UE use</w:t>
      </w:r>
      <w:r w:rsidR="00A85488">
        <w:rPr>
          <w:rFonts w:eastAsiaTheme="minorEastAsia" w:cs="Arial"/>
          <w:sz w:val="22"/>
          <w:lang w:eastAsia="zh-CN"/>
        </w:rPr>
        <w:t>s</w:t>
      </w:r>
      <w:r w:rsidRPr="00FB037B">
        <w:rPr>
          <w:rFonts w:eastAsiaTheme="minorEastAsia" w:cs="Arial"/>
          <w:sz w:val="22"/>
          <w:lang w:eastAsia="zh-CN"/>
        </w:rPr>
        <w:t xml:space="preserve"> </w:t>
      </w:r>
      <w:r>
        <w:rPr>
          <w:rFonts w:eastAsiaTheme="minorEastAsia" w:cs="Arial"/>
          <w:sz w:val="22"/>
          <w:lang w:eastAsia="zh-CN"/>
        </w:rPr>
        <w:t xml:space="preserve">the </w:t>
      </w:r>
      <w:r w:rsidR="00E7414A">
        <w:rPr>
          <w:rFonts w:eastAsiaTheme="minorEastAsia" w:cs="Arial"/>
          <w:sz w:val="22"/>
          <w:lang w:eastAsia="zh-CN"/>
        </w:rPr>
        <w:t>i</w:t>
      </w:r>
      <w:r w:rsidRPr="00FB037B">
        <w:rPr>
          <w:rFonts w:eastAsiaTheme="minorEastAsia" w:cs="Arial"/>
          <w:sz w:val="22"/>
          <w:lang w:eastAsia="zh-CN"/>
        </w:rPr>
        <w:t>nitial BWP as the default BWP</w:t>
      </w:r>
    </w:p>
    <w:p w14:paraId="48B0E04C" w14:textId="038E9192" w:rsidR="00A174AF" w:rsidRPr="003E3830" w:rsidRDefault="0099666D" w:rsidP="00BD3E6E">
      <w:pPr>
        <w:pStyle w:val="Doc-text2"/>
        <w:tabs>
          <w:tab w:val="left" w:pos="340"/>
        </w:tabs>
        <w:spacing w:before="120" w:after="120"/>
        <w:ind w:left="0" w:firstLine="0"/>
        <w:jc w:val="both"/>
        <w:rPr>
          <w:rFonts w:eastAsiaTheme="minorEastAsia" w:cs="Arial"/>
          <w:sz w:val="22"/>
          <w:lang w:eastAsia="zh-TW"/>
        </w:rPr>
      </w:pPr>
      <w:r>
        <w:rPr>
          <w:rFonts w:eastAsiaTheme="minorEastAsia" w:cs="Arial"/>
          <w:sz w:val="22"/>
          <w:lang w:eastAsia="zh-CN"/>
        </w:rPr>
        <w:t xml:space="preserve">For SCells, it can achieve </w:t>
      </w:r>
      <w:r w:rsidR="00A174AF">
        <w:rPr>
          <w:rFonts w:eastAsiaTheme="minorEastAsia" w:cs="Arial"/>
          <w:sz w:val="22"/>
          <w:lang w:eastAsia="zh-CN"/>
        </w:rPr>
        <w:t xml:space="preserve">more </w:t>
      </w:r>
      <w:r>
        <w:rPr>
          <w:rFonts w:eastAsiaTheme="minorEastAsia" w:cs="Arial"/>
          <w:sz w:val="22"/>
          <w:lang w:eastAsia="zh-CN"/>
        </w:rPr>
        <w:t>powe</w:t>
      </w:r>
      <w:r w:rsidR="00A174AF">
        <w:rPr>
          <w:rFonts w:eastAsiaTheme="minorEastAsia" w:cs="Arial"/>
          <w:sz w:val="22"/>
          <w:lang w:eastAsia="zh-CN"/>
        </w:rPr>
        <w:t>r saving by</w:t>
      </w:r>
      <w:r>
        <w:rPr>
          <w:rFonts w:eastAsiaTheme="minorEastAsia" w:cs="Arial"/>
          <w:sz w:val="22"/>
          <w:lang w:eastAsia="zh-CN"/>
        </w:rPr>
        <w:t xml:space="preserve"> transit</w:t>
      </w:r>
      <w:r w:rsidR="00A174AF">
        <w:rPr>
          <w:rFonts w:eastAsiaTheme="minorEastAsia" w:cs="Arial"/>
          <w:sz w:val="22"/>
          <w:lang w:eastAsia="zh-CN"/>
        </w:rPr>
        <w:t>ing</w:t>
      </w:r>
      <w:r>
        <w:rPr>
          <w:rFonts w:eastAsiaTheme="minorEastAsia" w:cs="Arial"/>
          <w:sz w:val="22"/>
          <w:lang w:eastAsia="zh-CN"/>
        </w:rPr>
        <w:t xml:space="preserve"> into BWP</w:t>
      </w:r>
      <w:r w:rsidR="004604B0">
        <w:rPr>
          <w:rFonts w:eastAsiaTheme="minorEastAsia" w:cs="Arial"/>
          <w:sz w:val="22"/>
          <w:lang w:eastAsia="zh-CN"/>
        </w:rPr>
        <w:t xml:space="preserve"> with dormancy behavior</w:t>
      </w:r>
      <w:r w:rsidR="00A174AF">
        <w:rPr>
          <w:rFonts w:eastAsiaTheme="minorEastAsia" w:cs="Arial"/>
          <w:sz w:val="22"/>
          <w:lang w:eastAsia="zh-CN"/>
        </w:rPr>
        <w:t xml:space="preserve"> </w:t>
      </w:r>
      <w:r w:rsidR="00A174AF" w:rsidRPr="00FB037B">
        <w:rPr>
          <w:rFonts w:eastAsiaTheme="minorEastAsia" w:cs="Arial"/>
          <w:sz w:val="22"/>
          <w:lang w:eastAsia="zh-CN"/>
        </w:rPr>
        <w:t xml:space="preserve">upon expiry </w:t>
      </w:r>
      <w:r w:rsidR="00A174AF">
        <w:rPr>
          <w:rFonts w:eastAsiaTheme="minorEastAsia" w:cs="Arial"/>
          <w:sz w:val="22"/>
          <w:lang w:eastAsia="zh-CN"/>
        </w:rPr>
        <w:t>of the BWP inactivity time</w:t>
      </w:r>
      <w:r>
        <w:rPr>
          <w:rFonts w:eastAsiaTheme="minorEastAsia" w:cs="Arial"/>
          <w:sz w:val="22"/>
          <w:lang w:eastAsia="zh-CN"/>
        </w:rPr>
        <w:t xml:space="preserve">, </w:t>
      </w:r>
      <w:r w:rsidR="00A174AF">
        <w:rPr>
          <w:rFonts w:eastAsiaTheme="minorEastAsia" w:cs="Arial"/>
          <w:sz w:val="22"/>
          <w:lang w:eastAsia="zh-CN"/>
        </w:rPr>
        <w:t xml:space="preserve">and NW can always use PCell DCI to transit SCells out of </w:t>
      </w:r>
      <w:r w:rsidR="00A174AF">
        <w:rPr>
          <w:rFonts w:eastAsiaTheme="minorEastAsia" w:cs="Arial" w:hint="eastAsia"/>
          <w:sz w:val="22"/>
          <w:lang w:eastAsia="zh-TW"/>
        </w:rPr>
        <w:t>BWP</w:t>
      </w:r>
      <w:r w:rsidR="004604B0">
        <w:rPr>
          <w:rFonts w:eastAsiaTheme="minorEastAsia" w:cs="Arial"/>
          <w:sz w:val="22"/>
          <w:lang w:eastAsia="zh-TW"/>
        </w:rPr>
        <w:t xml:space="preserve"> </w:t>
      </w:r>
      <w:r w:rsidR="004604B0">
        <w:rPr>
          <w:rFonts w:eastAsiaTheme="minorEastAsia" w:cs="Arial"/>
          <w:sz w:val="22"/>
          <w:lang w:eastAsia="zh-CN"/>
        </w:rPr>
        <w:t>with dormancy behavior</w:t>
      </w:r>
      <w:r w:rsidR="00A174AF">
        <w:rPr>
          <w:rFonts w:eastAsiaTheme="minorEastAsia" w:cs="Arial" w:hint="eastAsia"/>
          <w:sz w:val="22"/>
          <w:lang w:eastAsia="zh-TW"/>
        </w:rPr>
        <w:t xml:space="preserve">. </w:t>
      </w:r>
      <w:r w:rsidR="00A174AF">
        <w:rPr>
          <w:rFonts w:eastAsiaTheme="minorEastAsia" w:cs="Arial"/>
          <w:sz w:val="22"/>
          <w:lang w:eastAsia="zh-TW"/>
        </w:rPr>
        <w:t>Therefore, for SCells, the de</w:t>
      </w:r>
      <w:r w:rsidR="004604B0">
        <w:rPr>
          <w:rFonts w:eastAsiaTheme="minorEastAsia" w:cs="Arial"/>
          <w:sz w:val="22"/>
          <w:lang w:eastAsia="zh-TW"/>
        </w:rPr>
        <w:t xml:space="preserve">fault BWP should be the </w:t>
      </w:r>
      <w:r w:rsidR="00A174AF">
        <w:rPr>
          <w:rFonts w:eastAsiaTheme="minorEastAsia" w:cs="Arial"/>
          <w:sz w:val="22"/>
          <w:lang w:eastAsia="zh-TW"/>
        </w:rPr>
        <w:t>BWP</w:t>
      </w:r>
      <w:r w:rsidR="004604B0">
        <w:rPr>
          <w:rFonts w:eastAsiaTheme="minorEastAsia" w:cs="Arial"/>
          <w:sz w:val="22"/>
          <w:lang w:eastAsia="zh-TW"/>
        </w:rPr>
        <w:t xml:space="preserve"> </w:t>
      </w:r>
      <w:r w:rsidR="004604B0">
        <w:rPr>
          <w:rFonts w:eastAsiaTheme="minorEastAsia" w:cs="Arial"/>
          <w:sz w:val="22"/>
          <w:lang w:eastAsia="zh-CN"/>
        </w:rPr>
        <w:t>with dormancy behavior</w:t>
      </w:r>
      <w:r w:rsidR="00A174AF">
        <w:rPr>
          <w:rFonts w:eastAsiaTheme="minorEastAsia" w:cs="Arial"/>
          <w:sz w:val="22"/>
          <w:lang w:eastAsia="zh-TW"/>
        </w:rPr>
        <w:t xml:space="preserve"> if a BWP</w:t>
      </w:r>
      <w:r w:rsidR="004604B0">
        <w:rPr>
          <w:rFonts w:eastAsiaTheme="minorEastAsia" w:cs="Arial"/>
          <w:sz w:val="22"/>
          <w:lang w:eastAsia="zh-TW"/>
        </w:rPr>
        <w:t xml:space="preserve"> </w:t>
      </w:r>
      <w:r w:rsidR="004604B0">
        <w:rPr>
          <w:rFonts w:eastAsiaTheme="minorEastAsia" w:cs="Arial"/>
          <w:sz w:val="22"/>
          <w:lang w:eastAsia="zh-CN"/>
        </w:rPr>
        <w:t>with dormancy behavior</w:t>
      </w:r>
      <w:r w:rsidR="00A174AF">
        <w:rPr>
          <w:rFonts w:eastAsiaTheme="minorEastAsia" w:cs="Arial"/>
          <w:sz w:val="22"/>
          <w:lang w:eastAsia="zh-TW"/>
        </w:rPr>
        <w:t xml:space="preserve"> is configured by NW.</w:t>
      </w:r>
    </w:p>
    <w:p w14:paraId="150C7A10" w14:textId="6DBEC7EB" w:rsidR="00455BFA" w:rsidRPr="004604B0" w:rsidRDefault="004604B0" w:rsidP="00455BFA">
      <w:pPr>
        <w:spacing w:after="0"/>
        <w:rPr>
          <w:rFonts w:ascii="Arial" w:hAnsi="Arial" w:cs="Arial"/>
          <w:b/>
          <w:shd w:val="clear" w:color="auto" w:fill="FFFFFF"/>
        </w:rPr>
      </w:pPr>
      <w:r>
        <w:rPr>
          <w:rFonts w:ascii="Arial" w:hAnsi="Arial" w:cs="Arial"/>
          <w:b/>
          <w:u w:val="single"/>
          <w:shd w:val="clear" w:color="auto" w:fill="FFFFFF"/>
        </w:rPr>
        <w:t>Proposal 4</w:t>
      </w:r>
      <w:r w:rsidR="00A174AF" w:rsidRPr="00A174AF">
        <w:rPr>
          <w:rFonts w:ascii="Arial" w:hAnsi="Arial" w:cs="Arial"/>
          <w:b/>
          <w:u w:val="single"/>
          <w:shd w:val="clear" w:color="auto" w:fill="FFFFFF"/>
        </w:rPr>
        <w:t>:</w:t>
      </w:r>
      <w:r w:rsidR="00A174AF" w:rsidRPr="00A174AF">
        <w:rPr>
          <w:rFonts w:ascii="Arial" w:hAnsi="Arial" w:cs="Arial"/>
          <w:b/>
        </w:rPr>
        <w:t xml:space="preserve"> </w:t>
      </w:r>
      <w:r w:rsidR="00A174AF" w:rsidRPr="00A174AF">
        <w:rPr>
          <w:rFonts w:ascii="Arial" w:hAnsi="Arial" w:cs="Arial"/>
          <w:b/>
          <w:shd w:val="clear" w:color="auto" w:fill="FFFFFF"/>
        </w:rPr>
        <w:t>For an SCell configured with a BWP</w:t>
      </w:r>
      <w:r>
        <w:rPr>
          <w:rFonts w:ascii="Arial" w:hAnsi="Arial" w:cs="Arial"/>
          <w:b/>
          <w:shd w:val="clear" w:color="auto" w:fill="FFFFFF"/>
        </w:rPr>
        <w:t xml:space="preserve"> </w:t>
      </w:r>
      <w:r w:rsidRPr="004604B0">
        <w:rPr>
          <w:rFonts w:ascii="Arial" w:hAnsi="Arial" w:cs="Arial"/>
          <w:b/>
          <w:shd w:val="clear" w:color="auto" w:fill="FFFFFF"/>
        </w:rPr>
        <w:t>with dormancy behavior</w:t>
      </w:r>
      <w:r w:rsidR="00A174AF" w:rsidRPr="00A174AF">
        <w:rPr>
          <w:rFonts w:ascii="Arial" w:hAnsi="Arial" w:cs="Arial"/>
          <w:b/>
          <w:shd w:val="clear" w:color="auto" w:fill="FFFFFF"/>
        </w:rPr>
        <w:t xml:space="preserve">, the </w:t>
      </w:r>
      <w:r w:rsidR="00CC6848">
        <w:rPr>
          <w:rFonts w:ascii="Arial" w:hAnsi="Arial" w:cs="Arial"/>
          <w:b/>
          <w:shd w:val="clear" w:color="auto" w:fill="FFFFFF"/>
        </w:rPr>
        <w:t>default BWP of this SCell is configured</w:t>
      </w:r>
      <w:r w:rsidR="00A174AF" w:rsidRPr="00A174AF">
        <w:rPr>
          <w:rFonts w:ascii="Arial" w:hAnsi="Arial" w:cs="Arial"/>
          <w:b/>
          <w:shd w:val="clear" w:color="auto" w:fill="FFFFFF"/>
        </w:rPr>
        <w:t xml:space="preserve"> to be the BWP</w:t>
      </w:r>
      <w:r>
        <w:rPr>
          <w:rFonts w:ascii="Arial" w:hAnsi="Arial" w:cs="Arial"/>
          <w:b/>
          <w:shd w:val="clear" w:color="auto" w:fill="FFFFFF"/>
        </w:rPr>
        <w:t xml:space="preserve"> </w:t>
      </w:r>
      <w:r w:rsidRPr="004604B0">
        <w:rPr>
          <w:rFonts w:ascii="Arial" w:hAnsi="Arial" w:cs="Arial"/>
          <w:b/>
          <w:shd w:val="clear" w:color="auto" w:fill="FFFFFF"/>
        </w:rPr>
        <w:t>with dormancy behavior</w:t>
      </w:r>
      <w:r w:rsidR="00A174AF" w:rsidRPr="00A174AF">
        <w:rPr>
          <w:rFonts w:ascii="Arial" w:hAnsi="Arial" w:cs="Arial"/>
          <w:b/>
          <w:shd w:val="clear" w:color="auto" w:fill="FFFFFF"/>
        </w:rPr>
        <w:t>.</w:t>
      </w:r>
      <w:r w:rsidR="00CC6848">
        <w:rPr>
          <w:rFonts w:ascii="Arial" w:hAnsi="Arial" w:cs="Arial"/>
          <w:b/>
          <w:shd w:val="clear" w:color="auto" w:fill="FFFFFF"/>
        </w:rPr>
        <w:t xml:space="preserve"> (No spec impact)</w:t>
      </w:r>
    </w:p>
    <w:p w14:paraId="5C5A4207" w14:textId="77777777" w:rsidR="00A174AF" w:rsidRDefault="00A174AF" w:rsidP="00015E3C">
      <w:pPr>
        <w:jc w:val="both"/>
        <w:rPr>
          <w:rFonts w:ascii="Arial" w:eastAsia="MS Mincho" w:hAnsi="Arial" w:cs="Arial"/>
          <w:b/>
          <w:sz w:val="28"/>
          <w:szCs w:val="28"/>
          <w:u w:val="single"/>
        </w:rPr>
      </w:pPr>
    </w:p>
    <w:p w14:paraId="60892E6F" w14:textId="077EE963" w:rsidR="000E5159" w:rsidRDefault="00A174AF" w:rsidP="00015E3C">
      <w:pPr>
        <w:jc w:val="both"/>
        <w:rPr>
          <w:rFonts w:ascii="Arial" w:eastAsia="MS Mincho" w:hAnsi="Arial" w:cs="Arial"/>
          <w:b/>
          <w:sz w:val="28"/>
          <w:szCs w:val="28"/>
          <w:u w:val="single"/>
          <w:lang w:val="en-GB"/>
        </w:rPr>
      </w:pPr>
      <w:r>
        <w:rPr>
          <w:rFonts w:ascii="Arial" w:eastAsia="MS Mincho" w:hAnsi="Arial" w:cs="Arial"/>
          <w:b/>
          <w:sz w:val="28"/>
          <w:szCs w:val="28"/>
          <w:u w:val="single"/>
          <w:lang w:val="en-GB"/>
        </w:rPr>
        <w:t>2.3</w:t>
      </w:r>
      <w:r w:rsidR="00536672" w:rsidRPr="00F116B8">
        <w:rPr>
          <w:rFonts w:ascii="Arial" w:eastAsia="MS Mincho" w:hAnsi="Arial" w:cs="Arial"/>
          <w:b/>
          <w:sz w:val="28"/>
          <w:szCs w:val="28"/>
          <w:u w:val="single"/>
          <w:lang w:val="en-GB"/>
        </w:rPr>
        <w:t xml:space="preserve"> </w:t>
      </w:r>
      <w:r w:rsidR="00536672">
        <w:rPr>
          <w:rFonts w:ascii="Arial" w:eastAsia="MS Mincho" w:hAnsi="Arial" w:cs="Arial"/>
          <w:b/>
          <w:sz w:val="28"/>
          <w:szCs w:val="28"/>
          <w:u w:val="single"/>
          <w:lang w:val="en-GB"/>
        </w:rPr>
        <w:t xml:space="preserve">The behaviour of transiting out </w:t>
      </w:r>
      <w:r>
        <w:rPr>
          <w:rFonts w:ascii="Arial" w:eastAsia="MS Mincho" w:hAnsi="Arial" w:cs="Arial"/>
          <w:b/>
          <w:sz w:val="28"/>
          <w:szCs w:val="28"/>
          <w:u w:val="single"/>
          <w:lang w:val="en-GB"/>
        </w:rPr>
        <w:t>of</w:t>
      </w:r>
      <w:r w:rsidR="00C5004B">
        <w:rPr>
          <w:rFonts w:ascii="Arial" w:eastAsia="MS Mincho" w:hAnsi="Arial" w:cs="Arial"/>
          <w:b/>
          <w:sz w:val="28"/>
          <w:szCs w:val="28"/>
          <w:u w:val="single"/>
          <w:lang w:val="en-GB"/>
        </w:rPr>
        <w:t xml:space="preserve"> and into</w:t>
      </w:r>
      <w:r>
        <w:rPr>
          <w:rFonts w:ascii="Arial" w:eastAsia="MS Mincho" w:hAnsi="Arial" w:cs="Arial"/>
          <w:b/>
          <w:sz w:val="28"/>
          <w:szCs w:val="28"/>
          <w:u w:val="single"/>
          <w:lang w:val="en-GB"/>
        </w:rPr>
        <w:t xml:space="preserve"> </w:t>
      </w:r>
      <w:r w:rsidR="00536672">
        <w:rPr>
          <w:rFonts w:ascii="Arial" w:eastAsia="MS Mincho" w:hAnsi="Arial" w:cs="Arial"/>
          <w:b/>
          <w:sz w:val="28"/>
          <w:szCs w:val="28"/>
          <w:u w:val="single"/>
          <w:lang w:val="en-GB"/>
        </w:rPr>
        <w:t>BWP</w:t>
      </w:r>
      <w:r w:rsidR="004604B0">
        <w:rPr>
          <w:rFonts w:ascii="Arial" w:eastAsia="MS Mincho" w:hAnsi="Arial" w:cs="Arial"/>
          <w:b/>
          <w:sz w:val="28"/>
          <w:szCs w:val="28"/>
          <w:u w:val="single"/>
          <w:lang w:val="en-GB"/>
        </w:rPr>
        <w:t xml:space="preserve"> </w:t>
      </w:r>
      <w:r w:rsidR="004604B0" w:rsidRPr="004604B0">
        <w:rPr>
          <w:rFonts w:ascii="Arial" w:eastAsia="MS Mincho" w:hAnsi="Arial" w:cs="Arial"/>
          <w:b/>
          <w:sz w:val="28"/>
          <w:szCs w:val="28"/>
          <w:u w:val="single"/>
          <w:lang w:val="en-GB"/>
        </w:rPr>
        <w:t>with dormancy behavior</w:t>
      </w:r>
    </w:p>
    <w:p w14:paraId="0715BA32" w14:textId="160ABD56" w:rsidR="00536672" w:rsidRDefault="00536672" w:rsidP="00536672">
      <w:pPr>
        <w:pStyle w:val="Doc-text2"/>
        <w:tabs>
          <w:tab w:val="left" w:pos="340"/>
        </w:tabs>
        <w:spacing w:before="120" w:after="120"/>
        <w:ind w:left="0" w:firstLine="0"/>
        <w:jc w:val="both"/>
        <w:rPr>
          <w:rFonts w:cs="Arial"/>
          <w:sz w:val="21"/>
          <w:szCs w:val="21"/>
          <w:shd w:val="clear" w:color="auto" w:fill="FFFFFF"/>
        </w:rPr>
      </w:pPr>
      <w:r>
        <w:rPr>
          <w:rFonts w:eastAsiaTheme="minorEastAsia" w:cs="Arial"/>
          <w:sz w:val="22"/>
          <w:lang w:eastAsia="zh-CN"/>
        </w:rPr>
        <w:t xml:space="preserve">According to the agreement of RAN1 #98-bis meeting, for one </w:t>
      </w:r>
      <w:r>
        <w:rPr>
          <w:rFonts w:eastAsiaTheme="minorEastAsia" w:cs="Arial" w:hint="eastAsia"/>
          <w:sz w:val="22"/>
          <w:lang w:eastAsia="zh-TW"/>
        </w:rPr>
        <w:t>specific SCell, a one bit indication is used to indicate the transition in/out BWP</w:t>
      </w:r>
      <w:r w:rsidR="004604B0">
        <w:rPr>
          <w:rFonts w:eastAsiaTheme="minorEastAsia" w:cs="Arial"/>
          <w:sz w:val="22"/>
          <w:lang w:eastAsia="zh-TW"/>
        </w:rPr>
        <w:t xml:space="preserve"> </w:t>
      </w:r>
      <w:r w:rsidR="004604B0">
        <w:rPr>
          <w:rFonts w:eastAsiaTheme="minorEastAsia" w:cs="Arial"/>
          <w:sz w:val="22"/>
          <w:lang w:eastAsia="zh-CN"/>
        </w:rPr>
        <w:t>with dormancy behavior</w:t>
      </w:r>
      <w:r>
        <w:rPr>
          <w:rFonts w:eastAsiaTheme="minorEastAsia" w:cs="Arial" w:hint="eastAsia"/>
          <w:sz w:val="22"/>
          <w:lang w:eastAsia="zh-TW"/>
        </w:rPr>
        <w:t xml:space="preserve">. </w:t>
      </w:r>
      <w:r>
        <w:rPr>
          <w:rFonts w:cs="Arial"/>
          <w:sz w:val="21"/>
          <w:szCs w:val="21"/>
          <w:shd w:val="clear" w:color="auto" w:fill="FFFFFF"/>
        </w:rPr>
        <w:t>When a SCell is indicated to transit from</w:t>
      </w:r>
      <w:r w:rsidRPr="007D336C">
        <w:rPr>
          <w:rFonts w:cs="Arial"/>
          <w:sz w:val="21"/>
          <w:szCs w:val="21"/>
          <w:shd w:val="clear" w:color="auto" w:fill="FFFFFF"/>
        </w:rPr>
        <w:t xml:space="preserve"> </w:t>
      </w:r>
      <w:r>
        <w:rPr>
          <w:rFonts w:cs="Arial"/>
          <w:sz w:val="21"/>
          <w:szCs w:val="21"/>
          <w:shd w:val="clear" w:color="auto" w:fill="FFFFFF"/>
        </w:rPr>
        <w:t>BWP</w:t>
      </w:r>
      <w:r w:rsidR="004604B0">
        <w:rPr>
          <w:rFonts w:cs="Arial"/>
          <w:sz w:val="21"/>
          <w:szCs w:val="21"/>
          <w:shd w:val="clear" w:color="auto" w:fill="FFFFFF"/>
        </w:rPr>
        <w:t xml:space="preserve"> </w:t>
      </w:r>
      <w:r w:rsidR="004604B0">
        <w:rPr>
          <w:rFonts w:eastAsiaTheme="minorEastAsia" w:cs="Arial"/>
          <w:sz w:val="22"/>
          <w:lang w:eastAsia="zh-CN"/>
        </w:rPr>
        <w:t>with dormancy behavior</w:t>
      </w:r>
      <w:r w:rsidR="00B2157E">
        <w:rPr>
          <w:rFonts w:cs="Arial"/>
          <w:sz w:val="21"/>
          <w:szCs w:val="21"/>
          <w:shd w:val="clear" w:color="auto" w:fill="FFFFFF"/>
        </w:rPr>
        <w:t xml:space="preserve"> to BWP</w:t>
      </w:r>
      <w:r w:rsidR="004604B0">
        <w:rPr>
          <w:rFonts w:cs="Arial"/>
          <w:sz w:val="21"/>
          <w:szCs w:val="21"/>
          <w:shd w:val="clear" w:color="auto" w:fill="FFFFFF"/>
        </w:rPr>
        <w:t xml:space="preserve"> </w:t>
      </w:r>
      <w:r w:rsidR="004604B0">
        <w:rPr>
          <w:rFonts w:eastAsiaTheme="minorEastAsia" w:cs="Arial"/>
          <w:sz w:val="22"/>
          <w:lang w:eastAsia="zh-CN"/>
        </w:rPr>
        <w:t>with non-dormancy behavior</w:t>
      </w:r>
      <w:r>
        <w:rPr>
          <w:rFonts w:cs="Arial"/>
          <w:sz w:val="21"/>
          <w:szCs w:val="21"/>
          <w:shd w:val="clear" w:color="auto" w:fill="FFFFFF"/>
        </w:rPr>
        <w:t xml:space="preserve"> on activated SC</w:t>
      </w:r>
      <w:r w:rsidRPr="007D336C">
        <w:rPr>
          <w:rFonts w:cs="Arial"/>
          <w:sz w:val="21"/>
          <w:szCs w:val="21"/>
          <w:shd w:val="clear" w:color="auto" w:fill="FFFFFF"/>
        </w:rPr>
        <w:t>ells</w:t>
      </w:r>
      <w:r>
        <w:rPr>
          <w:rFonts w:cs="Arial"/>
          <w:sz w:val="21"/>
          <w:szCs w:val="21"/>
          <w:shd w:val="clear" w:color="auto" w:fill="FFFFFF"/>
        </w:rPr>
        <w:t>, if there are multiple BWPs</w:t>
      </w:r>
      <w:r w:rsidR="004604B0">
        <w:rPr>
          <w:rFonts w:cs="Arial"/>
          <w:sz w:val="21"/>
          <w:szCs w:val="21"/>
          <w:shd w:val="clear" w:color="auto" w:fill="FFFFFF"/>
        </w:rPr>
        <w:t xml:space="preserve"> </w:t>
      </w:r>
      <w:r w:rsidR="004604B0">
        <w:rPr>
          <w:rFonts w:eastAsiaTheme="minorEastAsia" w:cs="Arial"/>
          <w:sz w:val="22"/>
          <w:lang w:eastAsia="zh-CN"/>
        </w:rPr>
        <w:t>with non-dormancy behavior</w:t>
      </w:r>
      <w:r>
        <w:rPr>
          <w:rFonts w:cs="Arial"/>
          <w:sz w:val="21"/>
          <w:szCs w:val="21"/>
          <w:shd w:val="clear" w:color="auto" w:fill="FFFFFF"/>
        </w:rPr>
        <w:t>,</w:t>
      </w:r>
      <w:r w:rsidR="000B6052">
        <w:rPr>
          <w:rFonts w:cs="Arial"/>
          <w:sz w:val="21"/>
          <w:szCs w:val="21"/>
          <w:shd w:val="clear" w:color="auto" w:fill="FFFFFF"/>
        </w:rPr>
        <w:t xml:space="preserve"> the corresponding </w:t>
      </w:r>
      <w:r w:rsidR="00A85488">
        <w:rPr>
          <w:rFonts w:cs="Arial"/>
          <w:sz w:val="21"/>
          <w:szCs w:val="21"/>
          <w:shd w:val="clear" w:color="auto" w:fill="FFFFFF"/>
        </w:rPr>
        <w:t>behavior needs to be specified.</w:t>
      </w:r>
    </w:p>
    <w:p w14:paraId="618FFA62" w14:textId="3F6236DA" w:rsidR="000B6052" w:rsidRPr="0003374B" w:rsidRDefault="000B6052" w:rsidP="000B6052">
      <w:pPr>
        <w:autoSpaceDE w:val="0"/>
        <w:autoSpaceDN w:val="0"/>
        <w:spacing w:after="0" w:line="240" w:lineRule="auto"/>
        <w:rPr>
          <w:rFonts w:ascii="Arial" w:hAnsi="Arial" w:cs="Arial"/>
          <w:b/>
          <w:shd w:val="clear" w:color="auto" w:fill="FFFFFF"/>
        </w:rPr>
      </w:pPr>
      <w:r w:rsidRPr="0003374B">
        <w:rPr>
          <w:rFonts w:ascii="Arial" w:hAnsi="Arial" w:cs="Arial"/>
          <w:b/>
          <w:u w:val="single"/>
          <w:shd w:val="clear" w:color="auto" w:fill="FFFFFF"/>
        </w:rPr>
        <w:lastRenderedPageBreak/>
        <w:t>Proposal</w:t>
      </w:r>
      <w:r w:rsidR="004604B0">
        <w:rPr>
          <w:rFonts w:ascii="Arial" w:hAnsi="Arial" w:cs="Arial"/>
          <w:b/>
          <w:u w:val="single"/>
          <w:shd w:val="clear" w:color="auto" w:fill="FFFFFF"/>
        </w:rPr>
        <w:t xml:space="preserve"> 5</w:t>
      </w:r>
      <w:r w:rsidRPr="0003374B">
        <w:rPr>
          <w:rFonts w:ascii="Arial" w:hAnsi="Arial" w:cs="Arial"/>
          <w:b/>
          <w:u w:val="single"/>
          <w:shd w:val="clear" w:color="auto" w:fill="FFFFFF"/>
        </w:rPr>
        <w:t>:</w:t>
      </w:r>
      <w:r w:rsidRPr="0003374B">
        <w:rPr>
          <w:b/>
        </w:rPr>
        <w:t xml:space="preserve"> </w:t>
      </w:r>
      <w:r w:rsidRPr="0003374B">
        <w:rPr>
          <w:rFonts w:ascii="Arial" w:hAnsi="Arial" w:cs="Arial"/>
          <w:b/>
          <w:shd w:val="clear" w:color="auto" w:fill="FFFFFF"/>
        </w:rPr>
        <w:t>When a</w:t>
      </w:r>
      <w:r w:rsidR="007F30E4">
        <w:rPr>
          <w:rFonts w:ascii="Arial" w:hAnsi="Arial" w:cs="Arial"/>
          <w:b/>
          <w:shd w:val="clear" w:color="auto" w:fill="FFFFFF"/>
        </w:rPr>
        <w:t>n</w:t>
      </w:r>
      <w:r w:rsidRPr="0003374B">
        <w:rPr>
          <w:rFonts w:ascii="Arial" w:hAnsi="Arial" w:cs="Arial"/>
          <w:b/>
          <w:shd w:val="clear" w:color="auto" w:fill="FFFFFF"/>
        </w:rPr>
        <w:t xml:space="preserve"> SCell is indicated to transit from </w:t>
      </w:r>
      <w:r w:rsidR="00B2157E">
        <w:rPr>
          <w:rFonts w:ascii="Arial" w:hAnsi="Arial" w:cs="Arial"/>
          <w:b/>
          <w:shd w:val="clear" w:color="auto" w:fill="FFFFFF"/>
        </w:rPr>
        <w:t>BWP</w:t>
      </w:r>
      <w:r w:rsidR="004604B0">
        <w:rPr>
          <w:rFonts w:ascii="Arial" w:hAnsi="Arial" w:cs="Arial"/>
          <w:b/>
          <w:shd w:val="clear" w:color="auto" w:fill="FFFFFF"/>
        </w:rPr>
        <w:t xml:space="preserve"> </w:t>
      </w:r>
      <w:r w:rsidR="004604B0" w:rsidRPr="004604B0">
        <w:rPr>
          <w:rFonts w:ascii="Arial" w:hAnsi="Arial" w:cs="Arial"/>
          <w:b/>
          <w:shd w:val="clear" w:color="auto" w:fill="FFFFFF"/>
        </w:rPr>
        <w:t>with dormancy behavior</w:t>
      </w:r>
      <w:r w:rsidR="00B2157E">
        <w:rPr>
          <w:rFonts w:ascii="Arial" w:hAnsi="Arial" w:cs="Arial"/>
          <w:b/>
          <w:shd w:val="clear" w:color="auto" w:fill="FFFFFF"/>
        </w:rPr>
        <w:t xml:space="preserve"> to </w:t>
      </w:r>
      <w:r w:rsidRPr="0003374B">
        <w:rPr>
          <w:rFonts w:ascii="Arial" w:hAnsi="Arial" w:cs="Arial"/>
          <w:b/>
          <w:shd w:val="clear" w:color="auto" w:fill="FFFFFF"/>
        </w:rPr>
        <w:t>BWP</w:t>
      </w:r>
      <w:r w:rsidR="004604B0">
        <w:rPr>
          <w:rFonts w:ascii="Arial" w:hAnsi="Arial" w:cs="Arial"/>
          <w:b/>
          <w:shd w:val="clear" w:color="auto" w:fill="FFFFFF"/>
        </w:rPr>
        <w:t xml:space="preserve"> </w:t>
      </w:r>
      <w:r w:rsidR="004604B0" w:rsidRPr="004604B0">
        <w:rPr>
          <w:rFonts w:ascii="Arial" w:hAnsi="Arial" w:cs="Arial"/>
          <w:b/>
          <w:shd w:val="clear" w:color="auto" w:fill="FFFFFF"/>
        </w:rPr>
        <w:t>with non-dormancy behavior</w:t>
      </w:r>
      <w:r w:rsidRPr="0003374B">
        <w:rPr>
          <w:rFonts w:ascii="Arial" w:hAnsi="Arial" w:cs="Arial"/>
          <w:b/>
          <w:shd w:val="clear" w:color="auto" w:fill="FFFFFF"/>
        </w:rPr>
        <w:t>, if there are multiple BWPs</w:t>
      </w:r>
      <w:r w:rsidR="004604B0">
        <w:rPr>
          <w:rFonts w:ascii="Arial" w:hAnsi="Arial" w:cs="Arial"/>
          <w:b/>
          <w:shd w:val="clear" w:color="auto" w:fill="FFFFFF"/>
        </w:rPr>
        <w:t xml:space="preserve"> </w:t>
      </w:r>
      <w:r w:rsidR="004604B0" w:rsidRPr="004604B0">
        <w:rPr>
          <w:rFonts w:ascii="Arial" w:hAnsi="Arial" w:cs="Arial"/>
          <w:b/>
          <w:shd w:val="clear" w:color="auto" w:fill="FFFFFF"/>
        </w:rPr>
        <w:t xml:space="preserve">with </w:t>
      </w:r>
      <w:r w:rsidR="004604B0">
        <w:rPr>
          <w:rFonts w:ascii="Arial" w:hAnsi="Arial" w:cs="Arial"/>
          <w:b/>
          <w:shd w:val="clear" w:color="auto" w:fill="FFFFFF"/>
        </w:rPr>
        <w:t>non-</w:t>
      </w:r>
      <w:r w:rsidR="004604B0" w:rsidRPr="004604B0">
        <w:rPr>
          <w:rFonts w:ascii="Arial" w:hAnsi="Arial" w:cs="Arial"/>
          <w:b/>
          <w:shd w:val="clear" w:color="auto" w:fill="FFFFFF"/>
        </w:rPr>
        <w:t>dormancy behavior</w:t>
      </w:r>
      <w:r w:rsidRPr="0003374B">
        <w:rPr>
          <w:rFonts w:ascii="Arial" w:hAnsi="Arial" w:cs="Arial"/>
          <w:b/>
          <w:shd w:val="clear" w:color="auto" w:fill="FFFFFF"/>
        </w:rPr>
        <w:t>, the following options can be considered:</w:t>
      </w:r>
    </w:p>
    <w:p w14:paraId="6B856302" w14:textId="7D708EEF" w:rsidR="000B6052" w:rsidRPr="000B6052" w:rsidRDefault="000B6052" w:rsidP="000B6052">
      <w:pPr>
        <w:pStyle w:val="af7"/>
        <w:numPr>
          <w:ilvl w:val="0"/>
          <w:numId w:val="37"/>
        </w:numPr>
        <w:autoSpaceDE w:val="0"/>
        <w:autoSpaceDN w:val="0"/>
        <w:spacing w:after="0" w:line="240" w:lineRule="auto"/>
        <w:rPr>
          <w:rFonts w:ascii="Arial" w:hAnsi="Arial" w:cs="Arial"/>
          <w:b/>
          <w:sz w:val="21"/>
          <w:szCs w:val="21"/>
          <w:shd w:val="clear" w:color="auto" w:fill="FFFFFF"/>
        </w:rPr>
      </w:pPr>
      <w:r w:rsidRPr="000B6052">
        <w:rPr>
          <w:rFonts w:ascii="Arial" w:hAnsi="Arial" w:cs="Arial"/>
          <w:b/>
          <w:sz w:val="21"/>
          <w:szCs w:val="21"/>
          <w:shd w:val="clear" w:color="auto" w:fill="FFFFFF"/>
        </w:rPr>
        <w:t>A default BWP</w:t>
      </w:r>
      <w:r w:rsidR="004604B0">
        <w:rPr>
          <w:rFonts w:ascii="Arial" w:hAnsi="Arial" w:cs="Arial"/>
          <w:b/>
          <w:sz w:val="21"/>
          <w:szCs w:val="21"/>
          <w:shd w:val="clear" w:color="auto" w:fill="FFFFFF"/>
        </w:rPr>
        <w:t xml:space="preserve"> </w:t>
      </w:r>
      <w:r w:rsidR="004604B0" w:rsidRPr="004604B0">
        <w:rPr>
          <w:rFonts w:ascii="Arial" w:hAnsi="Arial" w:cs="Arial"/>
          <w:b/>
          <w:sz w:val="21"/>
          <w:szCs w:val="21"/>
          <w:shd w:val="clear" w:color="auto" w:fill="FFFFFF"/>
        </w:rPr>
        <w:t>with non-dormancy behavior</w:t>
      </w:r>
      <w:r w:rsidRPr="000B6052">
        <w:rPr>
          <w:rFonts w:ascii="Arial" w:hAnsi="Arial" w:cs="Arial"/>
          <w:b/>
          <w:sz w:val="21"/>
          <w:szCs w:val="21"/>
          <w:shd w:val="clear" w:color="auto" w:fill="FFFFFF"/>
        </w:rPr>
        <w:t xml:space="preserve"> is configured</w:t>
      </w:r>
    </w:p>
    <w:p w14:paraId="773422A8" w14:textId="78530534" w:rsidR="000B6052" w:rsidRPr="000B6052" w:rsidRDefault="000B6052" w:rsidP="000B6052">
      <w:pPr>
        <w:pStyle w:val="af7"/>
        <w:numPr>
          <w:ilvl w:val="0"/>
          <w:numId w:val="37"/>
        </w:numPr>
        <w:autoSpaceDE w:val="0"/>
        <w:autoSpaceDN w:val="0"/>
        <w:spacing w:after="0" w:line="240" w:lineRule="auto"/>
        <w:rPr>
          <w:rFonts w:ascii="Arial" w:hAnsi="Arial" w:cs="Arial"/>
          <w:b/>
          <w:sz w:val="21"/>
          <w:szCs w:val="21"/>
          <w:shd w:val="clear" w:color="auto" w:fill="FFFFFF"/>
        </w:rPr>
      </w:pPr>
      <w:r w:rsidRPr="000B6052">
        <w:rPr>
          <w:rFonts w:ascii="Arial" w:hAnsi="Arial" w:cs="Arial"/>
          <w:b/>
          <w:sz w:val="21"/>
          <w:szCs w:val="21"/>
          <w:shd w:val="clear" w:color="auto" w:fill="FFFFFF"/>
        </w:rPr>
        <w:t>UE returns to the BWP</w:t>
      </w:r>
      <w:r w:rsidR="004604B0">
        <w:rPr>
          <w:rFonts w:ascii="Arial" w:hAnsi="Arial" w:cs="Arial"/>
          <w:b/>
          <w:sz w:val="21"/>
          <w:szCs w:val="21"/>
          <w:shd w:val="clear" w:color="auto" w:fill="FFFFFF"/>
        </w:rPr>
        <w:t xml:space="preserve"> </w:t>
      </w:r>
      <w:r w:rsidR="004604B0" w:rsidRPr="004604B0">
        <w:rPr>
          <w:rFonts w:ascii="Arial" w:hAnsi="Arial" w:cs="Arial"/>
          <w:b/>
          <w:sz w:val="21"/>
          <w:szCs w:val="21"/>
          <w:shd w:val="clear" w:color="auto" w:fill="FFFFFF"/>
        </w:rPr>
        <w:t>with non-dormancy behavior</w:t>
      </w:r>
      <w:r w:rsidRPr="000B6052">
        <w:rPr>
          <w:rFonts w:ascii="Arial" w:hAnsi="Arial" w:cs="Arial"/>
          <w:b/>
          <w:sz w:val="21"/>
          <w:szCs w:val="21"/>
          <w:shd w:val="clear" w:color="auto" w:fill="FFFFFF"/>
        </w:rPr>
        <w:t xml:space="preserve"> with lowest BWP index</w:t>
      </w:r>
    </w:p>
    <w:p w14:paraId="26228CA1" w14:textId="00700D77" w:rsidR="000B6052" w:rsidRDefault="000B6052" w:rsidP="000B6052">
      <w:pPr>
        <w:pStyle w:val="af7"/>
        <w:numPr>
          <w:ilvl w:val="0"/>
          <w:numId w:val="37"/>
        </w:numPr>
        <w:autoSpaceDE w:val="0"/>
        <w:autoSpaceDN w:val="0"/>
        <w:spacing w:after="0" w:line="240" w:lineRule="auto"/>
        <w:rPr>
          <w:rFonts w:ascii="Arial" w:hAnsi="Arial" w:cs="Arial"/>
          <w:b/>
          <w:sz w:val="21"/>
          <w:szCs w:val="21"/>
          <w:shd w:val="clear" w:color="auto" w:fill="FFFFFF"/>
        </w:rPr>
      </w:pPr>
      <w:r w:rsidRPr="000B6052">
        <w:rPr>
          <w:rFonts w:ascii="Arial" w:hAnsi="Arial" w:cs="Arial"/>
          <w:b/>
          <w:sz w:val="21"/>
          <w:szCs w:val="21"/>
          <w:shd w:val="clear" w:color="auto" w:fill="FFFFFF"/>
        </w:rPr>
        <w:t>UE returns to the BWP</w:t>
      </w:r>
      <w:r w:rsidR="004604B0">
        <w:rPr>
          <w:rFonts w:ascii="Arial" w:hAnsi="Arial" w:cs="Arial"/>
          <w:b/>
          <w:sz w:val="21"/>
          <w:szCs w:val="21"/>
          <w:shd w:val="clear" w:color="auto" w:fill="FFFFFF"/>
        </w:rPr>
        <w:t xml:space="preserve"> </w:t>
      </w:r>
      <w:r w:rsidR="004604B0" w:rsidRPr="004604B0">
        <w:rPr>
          <w:rFonts w:ascii="Arial" w:hAnsi="Arial" w:cs="Arial"/>
          <w:b/>
          <w:sz w:val="21"/>
          <w:szCs w:val="21"/>
          <w:shd w:val="clear" w:color="auto" w:fill="FFFFFF"/>
        </w:rPr>
        <w:t>with non-dormancy behavior</w:t>
      </w:r>
      <w:r w:rsidRPr="000B6052">
        <w:rPr>
          <w:rFonts w:ascii="Arial" w:hAnsi="Arial" w:cs="Arial"/>
          <w:b/>
          <w:sz w:val="21"/>
          <w:szCs w:val="21"/>
          <w:shd w:val="clear" w:color="auto" w:fill="FFFFFF"/>
        </w:rPr>
        <w:t xml:space="preserve"> with highest BWP index</w:t>
      </w:r>
    </w:p>
    <w:p w14:paraId="3CC7A5BE" w14:textId="6531F3B4" w:rsidR="00536672" w:rsidRDefault="000B6052" w:rsidP="00A174AF">
      <w:pPr>
        <w:pStyle w:val="af7"/>
        <w:numPr>
          <w:ilvl w:val="0"/>
          <w:numId w:val="37"/>
        </w:numPr>
        <w:autoSpaceDE w:val="0"/>
        <w:autoSpaceDN w:val="0"/>
        <w:spacing w:after="0" w:line="240" w:lineRule="auto"/>
        <w:rPr>
          <w:rFonts w:ascii="Arial" w:hAnsi="Arial" w:cs="Arial"/>
          <w:b/>
          <w:sz w:val="21"/>
          <w:szCs w:val="21"/>
          <w:shd w:val="clear" w:color="auto" w:fill="FFFFFF"/>
        </w:rPr>
      </w:pPr>
      <w:r w:rsidRPr="000B6052">
        <w:rPr>
          <w:rFonts w:ascii="Arial" w:hAnsi="Arial" w:cs="Arial"/>
          <w:b/>
          <w:sz w:val="21"/>
          <w:szCs w:val="21"/>
          <w:shd w:val="clear" w:color="auto" w:fill="FFFFFF"/>
        </w:rPr>
        <w:t>UE returns to the BWP</w:t>
      </w:r>
      <w:r w:rsidR="004604B0">
        <w:rPr>
          <w:rFonts w:ascii="Arial" w:hAnsi="Arial" w:cs="Arial"/>
          <w:b/>
          <w:sz w:val="21"/>
          <w:szCs w:val="21"/>
          <w:shd w:val="clear" w:color="auto" w:fill="FFFFFF"/>
        </w:rPr>
        <w:t xml:space="preserve"> </w:t>
      </w:r>
      <w:r w:rsidR="004604B0" w:rsidRPr="004604B0">
        <w:rPr>
          <w:rFonts w:ascii="Arial" w:hAnsi="Arial" w:cs="Arial"/>
          <w:b/>
          <w:sz w:val="21"/>
          <w:szCs w:val="21"/>
          <w:shd w:val="clear" w:color="auto" w:fill="FFFFFF"/>
        </w:rPr>
        <w:t>with non-dormancy behavior</w:t>
      </w:r>
      <w:r w:rsidRPr="000B6052">
        <w:rPr>
          <w:rFonts w:ascii="Arial" w:hAnsi="Arial" w:cs="Arial"/>
          <w:b/>
          <w:sz w:val="21"/>
          <w:szCs w:val="21"/>
          <w:shd w:val="clear" w:color="auto" w:fill="FFFFFF"/>
        </w:rPr>
        <w:t xml:space="preserve"> </w:t>
      </w:r>
      <w:r>
        <w:rPr>
          <w:rFonts w:ascii="Arial" w:hAnsi="Arial" w:cs="Arial"/>
          <w:b/>
          <w:sz w:val="21"/>
          <w:szCs w:val="21"/>
          <w:shd w:val="clear" w:color="auto" w:fill="FFFFFF"/>
        </w:rPr>
        <w:t xml:space="preserve">it resides before transiting into the </w:t>
      </w:r>
      <w:r w:rsidRPr="000B6052">
        <w:rPr>
          <w:rFonts w:ascii="Arial" w:hAnsi="Arial" w:cs="Arial"/>
          <w:b/>
          <w:sz w:val="21"/>
          <w:szCs w:val="21"/>
          <w:shd w:val="clear" w:color="auto" w:fill="FFFFFF"/>
        </w:rPr>
        <w:t>BWP</w:t>
      </w:r>
      <w:r w:rsidR="004604B0">
        <w:rPr>
          <w:rFonts w:ascii="Arial" w:hAnsi="Arial" w:cs="Arial"/>
          <w:b/>
          <w:sz w:val="21"/>
          <w:szCs w:val="21"/>
          <w:shd w:val="clear" w:color="auto" w:fill="FFFFFF"/>
        </w:rPr>
        <w:t xml:space="preserve"> with </w:t>
      </w:r>
      <w:r w:rsidR="004604B0" w:rsidRPr="004604B0">
        <w:rPr>
          <w:rFonts w:ascii="Arial" w:hAnsi="Arial" w:cs="Arial"/>
          <w:b/>
          <w:sz w:val="21"/>
          <w:szCs w:val="21"/>
          <w:shd w:val="clear" w:color="auto" w:fill="FFFFFF"/>
        </w:rPr>
        <w:t>dormancy behavior</w:t>
      </w:r>
    </w:p>
    <w:p w14:paraId="0C4E1CBB" w14:textId="77777777" w:rsidR="00A174AF" w:rsidRDefault="00A174AF" w:rsidP="00A174AF">
      <w:pPr>
        <w:pStyle w:val="af7"/>
        <w:autoSpaceDE w:val="0"/>
        <w:autoSpaceDN w:val="0"/>
        <w:spacing w:after="0" w:line="240" w:lineRule="auto"/>
        <w:rPr>
          <w:rFonts w:ascii="Arial" w:hAnsi="Arial" w:cs="Arial"/>
          <w:b/>
          <w:sz w:val="21"/>
          <w:szCs w:val="21"/>
          <w:shd w:val="clear" w:color="auto" w:fill="FFFFFF"/>
        </w:rPr>
      </w:pPr>
    </w:p>
    <w:p w14:paraId="20D70B62" w14:textId="2D81526B" w:rsidR="00592393" w:rsidRPr="006E2252" w:rsidRDefault="00592393" w:rsidP="006E2252">
      <w:pPr>
        <w:pStyle w:val="Doc-text2"/>
        <w:tabs>
          <w:tab w:val="left" w:pos="340"/>
        </w:tabs>
        <w:spacing w:before="120" w:after="120"/>
        <w:ind w:left="0" w:firstLine="0"/>
        <w:jc w:val="both"/>
        <w:rPr>
          <w:rFonts w:eastAsiaTheme="minorEastAsia" w:cs="Arial"/>
          <w:sz w:val="22"/>
          <w:lang w:eastAsia="zh-TW"/>
        </w:rPr>
      </w:pPr>
      <w:r w:rsidRPr="006E2252">
        <w:rPr>
          <w:rFonts w:eastAsiaTheme="minorEastAsia" w:cs="Arial"/>
          <w:sz w:val="22"/>
          <w:lang w:eastAsia="zh-TW"/>
        </w:rPr>
        <w:t>When a SCell is indicated to transit from BWP</w:t>
      </w:r>
      <w:r w:rsidR="004604B0" w:rsidRPr="006E2252">
        <w:rPr>
          <w:rFonts w:eastAsiaTheme="minorEastAsia" w:cs="Arial"/>
          <w:sz w:val="22"/>
          <w:lang w:eastAsia="zh-TW"/>
        </w:rPr>
        <w:t xml:space="preserve"> with non-dormancy behavior</w:t>
      </w:r>
      <w:r w:rsidRPr="006E2252">
        <w:rPr>
          <w:rFonts w:eastAsiaTheme="minorEastAsia" w:cs="Arial"/>
          <w:sz w:val="22"/>
          <w:lang w:eastAsia="zh-TW"/>
        </w:rPr>
        <w:t xml:space="preserve"> to BWP</w:t>
      </w:r>
      <w:r w:rsidR="004604B0" w:rsidRPr="006E2252">
        <w:rPr>
          <w:rFonts w:eastAsiaTheme="minorEastAsia" w:cs="Arial"/>
          <w:sz w:val="22"/>
          <w:lang w:eastAsia="zh-TW"/>
        </w:rPr>
        <w:t xml:space="preserve"> with dormancy behavior</w:t>
      </w:r>
      <w:r w:rsidRPr="006E2252">
        <w:rPr>
          <w:rFonts w:eastAsiaTheme="minorEastAsia" w:cs="Arial"/>
          <w:sz w:val="22"/>
          <w:lang w:eastAsia="zh-TW"/>
        </w:rPr>
        <w:t xml:space="preserve"> on activated SCells, there should not be multiple </w:t>
      </w:r>
      <w:r w:rsidR="004604B0" w:rsidRPr="006E2252">
        <w:rPr>
          <w:rFonts w:eastAsiaTheme="minorEastAsia" w:cs="Arial"/>
          <w:sz w:val="22"/>
          <w:lang w:eastAsia="zh-TW"/>
        </w:rPr>
        <w:t>BWPs with dormancy behavior</w:t>
      </w:r>
      <w:r w:rsidRPr="006E2252">
        <w:rPr>
          <w:rFonts w:eastAsiaTheme="minorEastAsia" w:cs="Arial"/>
          <w:sz w:val="22"/>
          <w:lang w:eastAsia="zh-TW"/>
        </w:rPr>
        <w:t xml:space="preserve"> and no additional </w:t>
      </w:r>
      <w:r w:rsidR="00B2157E" w:rsidRPr="006E2252">
        <w:rPr>
          <w:rFonts w:eastAsiaTheme="minorEastAsia" w:cs="Arial"/>
          <w:sz w:val="22"/>
          <w:lang w:eastAsia="zh-TW"/>
        </w:rPr>
        <w:t>BWP indication is required.</w:t>
      </w:r>
    </w:p>
    <w:p w14:paraId="3DF45256" w14:textId="5CC8F603" w:rsidR="00B2157E" w:rsidRPr="004604B0" w:rsidRDefault="00B2157E" w:rsidP="00592393">
      <w:pPr>
        <w:autoSpaceDE w:val="0"/>
        <w:autoSpaceDN w:val="0"/>
        <w:spacing w:after="0" w:line="240" w:lineRule="auto"/>
        <w:rPr>
          <w:rFonts w:ascii="Arial" w:hAnsi="Arial" w:cs="Arial"/>
          <w:b/>
          <w:shd w:val="clear" w:color="auto" w:fill="FFFFFF"/>
        </w:rPr>
      </w:pPr>
      <w:r w:rsidRPr="0003374B">
        <w:rPr>
          <w:rFonts w:ascii="Arial" w:hAnsi="Arial" w:cs="Arial"/>
          <w:b/>
          <w:u w:val="single"/>
          <w:shd w:val="clear" w:color="auto" w:fill="FFFFFF"/>
        </w:rPr>
        <w:t>Proposal</w:t>
      </w:r>
      <w:r w:rsidR="004604B0">
        <w:rPr>
          <w:rFonts w:ascii="Arial" w:hAnsi="Arial" w:cs="Arial"/>
          <w:b/>
          <w:u w:val="single"/>
          <w:shd w:val="clear" w:color="auto" w:fill="FFFFFF"/>
        </w:rPr>
        <w:t xml:space="preserve"> 6</w:t>
      </w:r>
      <w:r w:rsidRPr="0003374B">
        <w:rPr>
          <w:rFonts w:ascii="Arial" w:hAnsi="Arial" w:cs="Arial"/>
          <w:b/>
          <w:u w:val="single"/>
          <w:shd w:val="clear" w:color="auto" w:fill="FFFFFF"/>
        </w:rPr>
        <w:t>:</w:t>
      </w:r>
      <w:r w:rsidRPr="0003374B">
        <w:rPr>
          <w:b/>
        </w:rPr>
        <w:t xml:space="preserve"> </w:t>
      </w:r>
      <w:r>
        <w:rPr>
          <w:rFonts w:ascii="Arial" w:hAnsi="Arial" w:cs="Arial"/>
          <w:b/>
          <w:shd w:val="clear" w:color="auto" w:fill="FFFFFF"/>
        </w:rPr>
        <w:t>For each</w:t>
      </w:r>
      <w:r w:rsidRPr="0003374B">
        <w:rPr>
          <w:rFonts w:ascii="Arial" w:hAnsi="Arial" w:cs="Arial"/>
          <w:b/>
          <w:shd w:val="clear" w:color="auto" w:fill="FFFFFF"/>
        </w:rPr>
        <w:t xml:space="preserve"> SCell</w:t>
      </w:r>
      <w:r>
        <w:rPr>
          <w:rFonts w:ascii="Arial" w:hAnsi="Arial" w:cs="Arial"/>
          <w:b/>
          <w:shd w:val="clear" w:color="auto" w:fill="FFFFFF"/>
        </w:rPr>
        <w:t xml:space="preserve">, UE is configured with at most one </w:t>
      </w:r>
      <w:r w:rsidRPr="0003374B">
        <w:rPr>
          <w:rFonts w:ascii="Arial" w:hAnsi="Arial" w:cs="Arial"/>
          <w:b/>
          <w:shd w:val="clear" w:color="auto" w:fill="FFFFFF"/>
        </w:rPr>
        <w:t>BWP</w:t>
      </w:r>
      <w:r w:rsidR="004604B0">
        <w:rPr>
          <w:rFonts w:ascii="Arial" w:hAnsi="Arial" w:cs="Arial"/>
          <w:b/>
          <w:shd w:val="clear" w:color="auto" w:fill="FFFFFF"/>
        </w:rPr>
        <w:t xml:space="preserve"> </w:t>
      </w:r>
      <w:r w:rsidR="004604B0" w:rsidRPr="004604B0">
        <w:rPr>
          <w:rFonts w:ascii="Arial" w:hAnsi="Arial" w:cs="Arial"/>
          <w:b/>
          <w:shd w:val="clear" w:color="auto" w:fill="FFFFFF"/>
        </w:rPr>
        <w:t>with dormancy behavior</w:t>
      </w:r>
      <w:r>
        <w:rPr>
          <w:rFonts w:ascii="Arial" w:hAnsi="Arial" w:cs="Arial"/>
          <w:b/>
          <w:shd w:val="clear" w:color="auto" w:fill="FFFFFF"/>
        </w:rPr>
        <w:t>.</w:t>
      </w:r>
    </w:p>
    <w:p w14:paraId="46F03C53" w14:textId="77777777" w:rsidR="00592393" w:rsidRPr="004604B0" w:rsidRDefault="00592393" w:rsidP="004604B0">
      <w:pPr>
        <w:autoSpaceDE w:val="0"/>
        <w:autoSpaceDN w:val="0"/>
        <w:spacing w:after="0" w:line="240" w:lineRule="auto"/>
        <w:rPr>
          <w:rFonts w:ascii="Arial" w:hAnsi="Arial" w:cs="Arial"/>
          <w:b/>
          <w:sz w:val="21"/>
          <w:szCs w:val="21"/>
          <w:shd w:val="clear" w:color="auto" w:fill="FFFFFF"/>
        </w:rPr>
      </w:pPr>
    </w:p>
    <w:p w14:paraId="74DC6A8B" w14:textId="77777777" w:rsidR="00592393" w:rsidRPr="00A174AF" w:rsidRDefault="00592393" w:rsidP="00A174AF">
      <w:pPr>
        <w:pStyle w:val="af7"/>
        <w:autoSpaceDE w:val="0"/>
        <w:autoSpaceDN w:val="0"/>
        <w:spacing w:after="0" w:line="240" w:lineRule="auto"/>
        <w:rPr>
          <w:rFonts w:ascii="Arial" w:hAnsi="Arial" w:cs="Arial"/>
          <w:b/>
          <w:sz w:val="21"/>
          <w:szCs w:val="21"/>
          <w:shd w:val="clear" w:color="auto" w:fill="FFFFFF"/>
        </w:rPr>
      </w:pPr>
    </w:p>
    <w:p w14:paraId="270A4506" w14:textId="5FC5E59F" w:rsidR="00015E3C" w:rsidRPr="00F116B8" w:rsidRDefault="000E5159" w:rsidP="00015E3C">
      <w:pPr>
        <w:jc w:val="both"/>
        <w:rPr>
          <w:rFonts w:ascii="Arial" w:eastAsia="MS Mincho" w:hAnsi="Arial" w:cs="Arial"/>
          <w:b/>
          <w:sz w:val="28"/>
          <w:szCs w:val="28"/>
          <w:u w:val="single"/>
          <w:lang w:val="en-GB"/>
        </w:rPr>
      </w:pPr>
      <w:r>
        <w:rPr>
          <w:rFonts w:ascii="Arial" w:eastAsia="MS Mincho" w:hAnsi="Arial" w:cs="Arial"/>
          <w:b/>
          <w:sz w:val="28"/>
          <w:szCs w:val="28"/>
          <w:u w:val="single"/>
          <w:lang w:val="en-GB"/>
        </w:rPr>
        <w:t>2</w:t>
      </w:r>
      <w:r w:rsidR="00A174AF">
        <w:rPr>
          <w:rFonts w:ascii="Arial" w:eastAsia="MS Mincho" w:hAnsi="Arial" w:cs="Arial"/>
          <w:b/>
          <w:sz w:val="28"/>
          <w:szCs w:val="28"/>
          <w:u w:val="single"/>
          <w:lang w:val="en-GB"/>
        </w:rPr>
        <w:t>.4</w:t>
      </w:r>
      <w:r w:rsidR="00015E3C" w:rsidRPr="00F116B8">
        <w:rPr>
          <w:rFonts w:ascii="Arial" w:eastAsia="MS Mincho" w:hAnsi="Arial" w:cs="Arial"/>
          <w:b/>
          <w:sz w:val="28"/>
          <w:szCs w:val="28"/>
          <w:u w:val="single"/>
          <w:lang w:val="en-GB"/>
        </w:rPr>
        <w:t xml:space="preserve"> </w:t>
      </w:r>
      <w:r w:rsidR="00A174AF">
        <w:rPr>
          <w:rFonts w:ascii="Arial" w:eastAsia="MS Mincho" w:hAnsi="Arial" w:cs="Arial"/>
          <w:b/>
          <w:sz w:val="28"/>
          <w:szCs w:val="28"/>
          <w:u w:val="single"/>
          <w:lang w:val="en-GB"/>
        </w:rPr>
        <w:t>S</w:t>
      </w:r>
      <w:r w:rsidR="00015E3C">
        <w:rPr>
          <w:rFonts w:ascii="Arial" w:eastAsia="MS Mincho" w:hAnsi="Arial" w:cs="Arial"/>
          <w:b/>
          <w:sz w:val="28"/>
          <w:szCs w:val="28"/>
          <w:u w:val="single"/>
          <w:lang w:val="en-GB"/>
        </w:rPr>
        <w:t xml:space="preserve">Cell (s) </w:t>
      </w:r>
      <w:r w:rsidR="00015E3C" w:rsidRPr="00F116B8">
        <w:rPr>
          <w:rFonts w:ascii="Arial" w:eastAsia="MS Mincho" w:hAnsi="Arial" w:cs="Arial"/>
          <w:b/>
          <w:sz w:val="28"/>
          <w:szCs w:val="28"/>
          <w:u w:val="single"/>
          <w:lang w:val="en-GB"/>
        </w:rPr>
        <w:t xml:space="preserve">dormancy behaviour </w:t>
      </w:r>
      <w:r w:rsidR="00015E3C">
        <w:rPr>
          <w:rFonts w:ascii="Arial" w:eastAsia="MS Mincho" w:hAnsi="Arial" w:cs="Arial"/>
          <w:b/>
          <w:sz w:val="28"/>
          <w:szCs w:val="28"/>
          <w:u w:val="single"/>
          <w:lang w:val="en-GB"/>
        </w:rPr>
        <w:t xml:space="preserve">and </w:t>
      </w:r>
      <w:r w:rsidR="00182949">
        <w:rPr>
          <w:rFonts w:ascii="Arial" w:eastAsia="MS Mincho" w:hAnsi="Arial" w:cs="Arial"/>
          <w:b/>
          <w:sz w:val="28"/>
          <w:szCs w:val="28"/>
          <w:u w:val="single"/>
          <w:lang w:val="en-GB"/>
        </w:rPr>
        <w:t>the corresponding transition me</w:t>
      </w:r>
      <w:r w:rsidR="00015E3C">
        <w:rPr>
          <w:rFonts w:ascii="Arial" w:eastAsia="MS Mincho" w:hAnsi="Arial" w:cs="Arial"/>
          <w:b/>
          <w:sz w:val="28"/>
          <w:szCs w:val="28"/>
          <w:u w:val="single"/>
          <w:lang w:val="en-GB"/>
        </w:rPr>
        <w:t>chanism outside active time</w:t>
      </w:r>
    </w:p>
    <w:p w14:paraId="47E3E6F0" w14:textId="3FCB00A9" w:rsidR="00015E3C" w:rsidRPr="0099074B" w:rsidRDefault="00182949" w:rsidP="0099074B">
      <w:pPr>
        <w:pStyle w:val="Doc-text2"/>
        <w:tabs>
          <w:tab w:val="left" w:pos="340"/>
        </w:tabs>
        <w:spacing w:before="120" w:after="120"/>
        <w:ind w:left="0" w:firstLine="0"/>
        <w:jc w:val="both"/>
        <w:rPr>
          <w:rFonts w:eastAsiaTheme="minorEastAsia" w:cs="Arial"/>
          <w:sz w:val="22"/>
          <w:lang w:eastAsia="zh-CN"/>
        </w:rPr>
      </w:pPr>
      <w:r w:rsidRPr="00980713">
        <w:rPr>
          <w:rFonts w:eastAsiaTheme="minorEastAsia" w:cs="Arial"/>
          <w:sz w:val="22"/>
          <w:lang w:eastAsia="zh-CN"/>
        </w:rPr>
        <w:t xml:space="preserve">In </w:t>
      </w:r>
      <w:r w:rsidR="001877D4">
        <w:rPr>
          <w:rFonts w:eastAsiaTheme="minorEastAsia" w:cs="Arial"/>
          <w:sz w:val="22"/>
          <w:lang w:eastAsia="zh-CN"/>
        </w:rPr>
        <w:t xml:space="preserve">RAN1 #98-bis meeting, </w:t>
      </w:r>
      <w:r w:rsidR="0099074B">
        <w:rPr>
          <w:rFonts w:eastAsiaTheme="minorEastAsia" w:cs="Arial"/>
          <w:sz w:val="22"/>
          <w:lang w:eastAsia="zh-CN"/>
        </w:rPr>
        <w:t>it is agreed to use BWP-</w:t>
      </w:r>
      <w:r w:rsidR="001877D4">
        <w:rPr>
          <w:rFonts w:eastAsiaTheme="minorEastAsia" w:cs="Arial"/>
          <w:sz w:val="22"/>
          <w:lang w:eastAsia="zh-CN"/>
        </w:rPr>
        <w:t xml:space="preserve">based framework to achieve SCell (s) dormancy behavior </w:t>
      </w:r>
      <w:r w:rsidR="001877D4" w:rsidRPr="001877D4">
        <w:rPr>
          <w:rFonts w:eastAsiaTheme="minorEastAsia" w:cs="Arial"/>
          <w:b/>
          <w:sz w:val="22"/>
          <w:lang w:eastAsia="zh-CN"/>
        </w:rPr>
        <w:t>inside active time</w:t>
      </w:r>
      <w:r w:rsidR="001877D4">
        <w:rPr>
          <w:rFonts w:eastAsiaTheme="minorEastAsia" w:cs="Arial"/>
          <w:sz w:val="22"/>
          <w:lang w:eastAsia="zh-CN"/>
        </w:rPr>
        <w:t xml:space="preserve">. </w:t>
      </w:r>
      <w:r w:rsidR="0099074B">
        <w:rPr>
          <w:rFonts w:eastAsiaTheme="minorEastAsia" w:cs="Arial"/>
          <w:sz w:val="22"/>
          <w:lang w:eastAsia="zh-CN"/>
        </w:rPr>
        <w:t xml:space="preserve">To minimize spec effort, BWP based switch should also be used to achieve dormancy behavior </w:t>
      </w:r>
      <w:r w:rsidR="0099074B" w:rsidRPr="0099074B">
        <w:rPr>
          <w:rFonts w:eastAsiaTheme="minorEastAsia" w:cs="Arial"/>
          <w:b/>
          <w:sz w:val="22"/>
          <w:lang w:eastAsia="zh-CN"/>
        </w:rPr>
        <w:t>outside active time</w:t>
      </w:r>
      <w:r w:rsidR="0099074B">
        <w:rPr>
          <w:rFonts w:eastAsiaTheme="minorEastAsia" w:cs="Arial"/>
          <w:sz w:val="22"/>
          <w:lang w:eastAsia="zh-CN"/>
        </w:rPr>
        <w:t xml:space="preserve">. </w:t>
      </w:r>
    </w:p>
    <w:p w14:paraId="7C2DFB53" w14:textId="3B38308D" w:rsidR="00F116B8" w:rsidRDefault="00F116B8" w:rsidP="00F116B8">
      <w:pPr>
        <w:jc w:val="both"/>
        <w:rPr>
          <w:rFonts w:ascii="Arial" w:hAnsi="Arial" w:cs="Arial"/>
          <w:b/>
        </w:rPr>
      </w:pPr>
      <w:r w:rsidRPr="00F55FFC">
        <w:rPr>
          <w:rFonts w:ascii="Arial" w:hAnsi="Arial" w:cs="Arial"/>
          <w:b/>
          <w:i/>
          <w:u w:val="single"/>
        </w:rPr>
        <w:t>P</w:t>
      </w:r>
      <w:r w:rsidR="004604B0">
        <w:rPr>
          <w:rFonts w:ascii="Arial" w:hAnsi="Arial" w:cs="Arial"/>
          <w:b/>
          <w:i/>
          <w:u w:val="single"/>
        </w:rPr>
        <w:t>roposal 7</w:t>
      </w:r>
      <w:r w:rsidRPr="00F55FFC">
        <w:rPr>
          <w:rFonts w:ascii="Arial" w:hAnsi="Arial" w:cs="Arial"/>
          <w:b/>
          <w:i/>
          <w:u w:val="single"/>
        </w:rPr>
        <w:t>:</w:t>
      </w:r>
      <w:r w:rsidRPr="00F116B8">
        <w:rPr>
          <w:rFonts w:ascii="Arial" w:hAnsi="Arial" w:cs="Arial"/>
          <w:b/>
        </w:rPr>
        <w:t xml:space="preserve"> </w:t>
      </w:r>
      <w:r w:rsidR="008E7761" w:rsidRPr="00F116B8">
        <w:rPr>
          <w:rFonts w:ascii="Arial" w:eastAsia="MS Mincho" w:hAnsi="Arial" w:cs="Arial"/>
          <w:b/>
          <w:lang w:eastAsia="ja-JP"/>
        </w:rPr>
        <w:t xml:space="preserve">BWP-based </w:t>
      </w:r>
      <w:r w:rsidR="0099074B">
        <w:rPr>
          <w:rFonts w:ascii="Arial" w:eastAsia="MS Mincho" w:hAnsi="Arial" w:cs="Arial"/>
          <w:b/>
          <w:lang w:eastAsia="ja-JP"/>
        </w:rPr>
        <w:t xml:space="preserve">framework </w:t>
      </w:r>
      <w:r w:rsidR="008E7761">
        <w:rPr>
          <w:rFonts w:ascii="Arial" w:eastAsia="MS Mincho" w:hAnsi="Arial" w:cs="Arial"/>
          <w:b/>
          <w:lang w:eastAsia="ja-JP"/>
        </w:rPr>
        <w:t>should be used</w:t>
      </w:r>
      <w:r w:rsidR="008E7761" w:rsidRPr="00F116B8">
        <w:rPr>
          <w:rFonts w:ascii="Arial" w:eastAsia="MS Mincho" w:hAnsi="Arial" w:cs="Arial"/>
          <w:b/>
          <w:lang w:eastAsia="ja-JP"/>
        </w:rPr>
        <w:t xml:space="preserve"> to support dormancy behaviour on SCell (s)</w:t>
      </w:r>
      <w:r w:rsidR="003C6A1D">
        <w:rPr>
          <w:rFonts w:ascii="Arial" w:hAnsi="Arial" w:cs="Arial"/>
          <w:b/>
        </w:rPr>
        <w:t xml:space="preserve"> </w:t>
      </w:r>
      <w:r w:rsidR="0099074B">
        <w:rPr>
          <w:rFonts w:ascii="Arial" w:hAnsi="Arial" w:cs="Arial"/>
          <w:b/>
        </w:rPr>
        <w:t xml:space="preserve">outside active time to minimize </w:t>
      </w:r>
      <w:r w:rsidR="003C6A1D">
        <w:rPr>
          <w:rFonts w:ascii="Arial" w:hAnsi="Arial" w:cs="Arial"/>
          <w:b/>
        </w:rPr>
        <w:t>spec impact</w:t>
      </w:r>
      <w:r w:rsidRPr="00F116B8">
        <w:rPr>
          <w:rFonts w:ascii="Arial" w:hAnsi="Arial" w:cs="Arial"/>
          <w:b/>
        </w:rPr>
        <w:t>.</w:t>
      </w:r>
      <w:r w:rsidR="00F13A4C">
        <w:rPr>
          <w:rFonts w:ascii="Arial" w:hAnsi="Arial" w:cs="Arial"/>
          <w:b/>
        </w:rPr>
        <w:t xml:space="preserve"> </w:t>
      </w:r>
    </w:p>
    <w:p w14:paraId="5C23F179" w14:textId="1D20AFB1" w:rsidR="0099074B" w:rsidRPr="005C494A" w:rsidRDefault="005C494A" w:rsidP="005C494A">
      <w:pPr>
        <w:pStyle w:val="Doc-text2"/>
        <w:tabs>
          <w:tab w:val="left" w:pos="340"/>
        </w:tabs>
        <w:spacing w:before="120" w:after="120"/>
        <w:ind w:left="0" w:firstLine="0"/>
        <w:jc w:val="both"/>
        <w:rPr>
          <w:rFonts w:eastAsiaTheme="minorEastAsia" w:cs="Arial"/>
          <w:sz w:val="22"/>
          <w:lang w:eastAsia="zh-CN"/>
        </w:rPr>
      </w:pPr>
      <w:r>
        <w:rPr>
          <w:rFonts w:eastAsiaTheme="minorEastAsia" w:cs="Arial"/>
          <w:sz w:val="22"/>
          <w:lang w:eastAsia="zh-CN"/>
        </w:rPr>
        <w:t xml:space="preserve">Since a group based indication is agreed for SCell (s) dormancy behavior, a RRC parameter </w:t>
      </w:r>
      <w:r w:rsidRPr="005C494A">
        <w:rPr>
          <w:rFonts w:eastAsiaTheme="minorEastAsia" w:cs="Arial"/>
          <w:i/>
          <w:sz w:val="22"/>
          <w:lang w:eastAsia="zh-CN"/>
        </w:rPr>
        <w:t>Scell-groups-for-dormancy-outside-active-time</w:t>
      </w:r>
      <w:r>
        <w:rPr>
          <w:rFonts w:eastAsiaTheme="minorEastAsia" w:cs="Arial"/>
          <w:sz w:val="22"/>
          <w:lang w:eastAsia="zh-CN"/>
        </w:rPr>
        <w:t xml:space="preserve"> is added as in </w:t>
      </w:r>
      <w:r w:rsidR="00913BA6">
        <w:rPr>
          <w:rFonts w:eastAsiaTheme="minorEastAsia" w:cs="Arial"/>
          <w:sz w:val="22"/>
          <w:lang w:eastAsia="zh-CN"/>
        </w:rPr>
        <w:t>[3] (</w:t>
      </w:r>
      <w:r>
        <w:rPr>
          <w:rFonts w:eastAsiaTheme="minorEastAsia" w:cs="Arial"/>
          <w:sz w:val="22"/>
          <w:lang w:eastAsia="zh-CN"/>
        </w:rPr>
        <w:t>R1-1911738</w:t>
      </w:r>
      <w:r w:rsidR="00913BA6">
        <w:rPr>
          <w:rFonts w:eastAsiaTheme="minorEastAsia" w:cs="Arial"/>
          <w:sz w:val="22"/>
          <w:lang w:eastAsia="zh-CN"/>
        </w:rPr>
        <w:t>)</w:t>
      </w:r>
      <w:r>
        <w:rPr>
          <w:rFonts w:eastAsiaTheme="minorEastAsia" w:cs="Arial"/>
          <w:sz w:val="22"/>
          <w:lang w:eastAsia="zh-CN"/>
        </w:rPr>
        <w:t xml:space="preserve"> to configure the number of SCell groups used for dormancy indication outside active time.</w:t>
      </w:r>
      <w:r w:rsidR="00F0534F">
        <w:rPr>
          <w:rFonts w:eastAsiaTheme="minorEastAsia" w:cs="Arial"/>
          <w:sz w:val="22"/>
          <w:lang w:eastAsia="zh-CN"/>
        </w:rPr>
        <w:t xml:space="preserve"> To specify which SCell belongs to which SCell group, a simple way is to add a </w:t>
      </w:r>
      <w:r w:rsidR="00F0534F">
        <w:rPr>
          <w:rFonts w:eastAsiaTheme="minorEastAsia" w:cs="Arial"/>
          <w:i/>
          <w:sz w:val="22"/>
          <w:lang w:eastAsia="zh-CN"/>
        </w:rPr>
        <w:t>Scell-group-id</w:t>
      </w:r>
      <w:r w:rsidR="00F0534F" w:rsidRPr="005C494A">
        <w:rPr>
          <w:rFonts w:eastAsiaTheme="minorEastAsia" w:cs="Arial"/>
          <w:i/>
          <w:sz w:val="22"/>
          <w:lang w:eastAsia="zh-CN"/>
        </w:rPr>
        <w:t>-for-dormancy-outside-active-time</w:t>
      </w:r>
      <w:r w:rsidR="00F0534F">
        <w:rPr>
          <w:rFonts w:eastAsiaTheme="minorEastAsia" w:cs="Arial"/>
          <w:sz w:val="22"/>
          <w:lang w:eastAsia="zh-CN"/>
        </w:rPr>
        <w:t xml:space="preserve"> IE to each SCell during RRC configuration. Then, the </w:t>
      </w:r>
      <w:r w:rsidR="0003514F">
        <w:rPr>
          <w:rFonts w:eastAsiaTheme="minorEastAsia" w:cs="Arial"/>
          <w:sz w:val="22"/>
          <w:lang w:eastAsia="zh-CN"/>
        </w:rPr>
        <w:t xml:space="preserve">SCell grouping is not affected by the SCells addition/release of other SCells. </w:t>
      </w:r>
    </w:p>
    <w:p w14:paraId="60EFBEFC" w14:textId="43AB1B37" w:rsidR="0085515F" w:rsidRDefault="004604B0" w:rsidP="00F873F6">
      <w:pPr>
        <w:jc w:val="both"/>
        <w:rPr>
          <w:rFonts w:ascii="Arial" w:eastAsia="MS Mincho" w:hAnsi="Arial" w:cs="Arial"/>
          <w:b/>
          <w:lang w:eastAsia="ja-JP"/>
        </w:rPr>
      </w:pPr>
      <w:r>
        <w:rPr>
          <w:rFonts w:ascii="Arial" w:hAnsi="Arial" w:cs="Arial"/>
          <w:b/>
          <w:i/>
          <w:u w:val="single"/>
        </w:rPr>
        <w:t>Proposal 8</w:t>
      </w:r>
      <w:r w:rsidR="0003514F" w:rsidRPr="00F55FFC">
        <w:rPr>
          <w:rFonts w:ascii="Arial" w:hAnsi="Arial" w:cs="Arial"/>
          <w:b/>
          <w:i/>
          <w:u w:val="single"/>
        </w:rPr>
        <w:t>:</w:t>
      </w:r>
      <w:r w:rsidR="0003514F" w:rsidRPr="00F116B8">
        <w:rPr>
          <w:rFonts w:ascii="Arial" w:hAnsi="Arial" w:cs="Arial"/>
          <w:b/>
        </w:rPr>
        <w:t xml:space="preserve"> </w:t>
      </w:r>
      <w:r w:rsidR="0003514F" w:rsidRPr="0003514F">
        <w:rPr>
          <w:rFonts w:ascii="Arial" w:eastAsia="MS Mincho" w:hAnsi="Arial" w:cs="Arial"/>
          <w:b/>
          <w:lang w:eastAsia="ja-JP"/>
        </w:rPr>
        <w:t xml:space="preserve">Add a </w:t>
      </w:r>
      <w:r w:rsidR="0003514F" w:rsidRPr="00E7414A">
        <w:rPr>
          <w:rFonts w:ascii="Arial" w:eastAsia="MS Mincho" w:hAnsi="Arial" w:cs="Arial"/>
          <w:b/>
          <w:i/>
          <w:lang w:eastAsia="ja-JP"/>
        </w:rPr>
        <w:t>Scell-group-id-for-dormancy-outside-active-time</w:t>
      </w:r>
      <w:r w:rsidR="0003514F" w:rsidRPr="0003514F">
        <w:rPr>
          <w:rFonts w:ascii="Arial" w:eastAsia="MS Mincho" w:hAnsi="Arial" w:cs="Arial"/>
          <w:b/>
          <w:lang w:eastAsia="ja-JP"/>
        </w:rPr>
        <w:t xml:space="preserve"> IE to each SCell during RRC configuration</w:t>
      </w:r>
      <w:r w:rsidR="0003514F">
        <w:rPr>
          <w:rFonts w:ascii="Arial" w:eastAsia="MS Mincho" w:hAnsi="Arial" w:cs="Arial"/>
          <w:b/>
          <w:lang w:eastAsia="ja-JP"/>
        </w:rPr>
        <w:t xml:space="preserve"> to achieve SCell grouping for indication of dormancy outside active time.</w:t>
      </w:r>
      <w:r>
        <w:rPr>
          <w:rFonts w:ascii="Arial" w:eastAsia="MS Mincho" w:hAnsi="Arial" w:cs="Arial"/>
          <w:b/>
          <w:lang w:eastAsia="ja-JP"/>
        </w:rPr>
        <w:t xml:space="preserve"> </w:t>
      </w:r>
    </w:p>
    <w:p w14:paraId="163FF31C" w14:textId="77777777" w:rsidR="00F873F6" w:rsidRPr="00F873F6" w:rsidRDefault="00F873F6" w:rsidP="00F873F6">
      <w:pPr>
        <w:jc w:val="both"/>
        <w:rPr>
          <w:rFonts w:ascii="Arial" w:eastAsia="MS Mincho" w:hAnsi="Arial" w:cs="Arial"/>
          <w:b/>
          <w:lang w:eastAsia="ja-JP"/>
        </w:rPr>
      </w:pPr>
    </w:p>
    <w:p w14:paraId="632EC9CB" w14:textId="278A2330" w:rsidR="00F116B8" w:rsidRPr="000E59BF" w:rsidRDefault="000E59BF" w:rsidP="000E59BF">
      <w:pPr>
        <w:pStyle w:val="Doc-text2"/>
        <w:tabs>
          <w:tab w:val="left" w:pos="340"/>
        </w:tabs>
        <w:spacing w:before="120" w:after="120"/>
        <w:ind w:left="0" w:firstLine="0"/>
        <w:jc w:val="both"/>
        <w:rPr>
          <w:rFonts w:eastAsiaTheme="minorEastAsia" w:cs="Arial"/>
          <w:sz w:val="22"/>
          <w:lang w:eastAsia="zh-CN"/>
        </w:rPr>
      </w:pPr>
      <w:r w:rsidRPr="00980713">
        <w:rPr>
          <w:rFonts w:eastAsiaTheme="minorEastAsia" w:cs="Arial"/>
          <w:sz w:val="22"/>
          <w:lang w:eastAsia="zh-CN"/>
        </w:rPr>
        <w:t xml:space="preserve">In </w:t>
      </w:r>
      <w:r>
        <w:rPr>
          <w:rFonts w:eastAsiaTheme="minorEastAsia" w:cs="Arial"/>
          <w:sz w:val="22"/>
          <w:lang w:eastAsia="zh-CN"/>
        </w:rPr>
        <w:t>RAN1 #98-bis meeting,</w:t>
      </w:r>
      <w:r w:rsidRPr="000E59BF">
        <w:rPr>
          <w:rFonts w:eastAsiaTheme="minorEastAsia" w:cs="Arial"/>
          <w:sz w:val="22"/>
          <w:lang w:eastAsia="zh-CN"/>
        </w:rPr>
        <w:t xml:space="preserve"> </w:t>
      </w:r>
      <w:r>
        <w:rPr>
          <w:rFonts w:eastAsiaTheme="minorEastAsia" w:cs="Arial"/>
          <w:sz w:val="22"/>
          <w:lang w:eastAsia="zh-CN"/>
        </w:rPr>
        <w:t xml:space="preserve">only the transition </w:t>
      </w:r>
      <w:r w:rsidRPr="00267B74">
        <w:rPr>
          <w:rFonts w:eastAsiaTheme="minorEastAsia" w:cs="Arial"/>
          <w:sz w:val="22"/>
          <w:lang w:eastAsia="zh-CN"/>
        </w:rPr>
        <w:t xml:space="preserve">from ’dormancy-like’ to ’non-dormancy like’ behaviour </w:t>
      </w:r>
      <w:r>
        <w:rPr>
          <w:rFonts w:eastAsiaTheme="minorEastAsia" w:cs="Arial"/>
          <w:sz w:val="22"/>
          <w:lang w:eastAsia="zh-CN"/>
        </w:rPr>
        <w:t>on activated SC</w:t>
      </w:r>
      <w:r w:rsidRPr="00267B74">
        <w:rPr>
          <w:rFonts w:eastAsiaTheme="minorEastAsia" w:cs="Arial"/>
          <w:sz w:val="22"/>
          <w:lang w:eastAsia="zh-CN"/>
        </w:rPr>
        <w:t>ells</w:t>
      </w:r>
      <w:r>
        <w:rPr>
          <w:rFonts w:eastAsiaTheme="minorEastAsia" w:cs="Arial"/>
          <w:sz w:val="22"/>
          <w:lang w:eastAsia="zh-CN"/>
        </w:rPr>
        <w:t xml:space="preserve"> is agreed</w:t>
      </w:r>
      <w:r w:rsidR="009F572D">
        <w:rPr>
          <w:rFonts w:eastAsiaTheme="minorEastAsia" w:cs="Arial"/>
          <w:sz w:val="22"/>
          <w:lang w:eastAsia="zh-CN"/>
        </w:rPr>
        <w:t xml:space="preserve"> outside active time using the WUS</w:t>
      </w:r>
      <w:r>
        <w:rPr>
          <w:rFonts w:eastAsiaTheme="minorEastAsia" w:cs="Arial"/>
          <w:sz w:val="22"/>
          <w:lang w:eastAsia="zh-CN"/>
        </w:rPr>
        <w:t xml:space="preserve">. When UE is indicated not to wake up by WUS outside active time, it would not monitor PDCCH on both PCell and SCells. </w:t>
      </w:r>
      <w:r w:rsidR="009F572D">
        <w:rPr>
          <w:rFonts w:eastAsiaTheme="minorEastAsia" w:cs="Arial"/>
          <w:sz w:val="22"/>
          <w:lang w:eastAsia="zh-CN"/>
        </w:rPr>
        <w:t xml:space="preserve">When UE is </w:t>
      </w:r>
      <w:r w:rsidR="009F572D">
        <w:rPr>
          <w:rFonts w:eastAsiaTheme="minorEastAsia" w:cs="Arial"/>
          <w:sz w:val="22"/>
          <w:lang w:eastAsia="zh-CN"/>
        </w:rPr>
        <w:lastRenderedPageBreak/>
        <w:t xml:space="preserve">indicated to wake up by WUS outside active time, it would monitor PDCCH on both PCell and SCells. Allowing transition </w:t>
      </w:r>
      <w:r w:rsidR="009F572D" w:rsidRPr="00267B74">
        <w:rPr>
          <w:rFonts w:eastAsiaTheme="minorEastAsia" w:cs="Arial"/>
          <w:sz w:val="22"/>
          <w:lang w:eastAsia="zh-CN"/>
        </w:rPr>
        <w:t>from ’</w:t>
      </w:r>
      <w:r w:rsidR="009F572D">
        <w:rPr>
          <w:rFonts w:eastAsiaTheme="minorEastAsia" w:cs="Arial"/>
          <w:sz w:val="22"/>
          <w:lang w:eastAsia="zh-CN"/>
        </w:rPr>
        <w:t>non-</w:t>
      </w:r>
      <w:r w:rsidR="009F572D" w:rsidRPr="00267B74">
        <w:rPr>
          <w:rFonts w:eastAsiaTheme="minorEastAsia" w:cs="Arial"/>
          <w:sz w:val="22"/>
          <w:lang w:eastAsia="zh-CN"/>
        </w:rPr>
        <w:t>dormancy-like’ to</w:t>
      </w:r>
      <w:r w:rsidR="009F572D">
        <w:rPr>
          <w:rFonts w:eastAsiaTheme="minorEastAsia" w:cs="Arial"/>
          <w:sz w:val="22"/>
          <w:lang w:eastAsia="zh-CN"/>
        </w:rPr>
        <w:t xml:space="preserve"> ’</w:t>
      </w:r>
      <w:r w:rsidR="009F572D" w:rsidRPr="00267B74">
        <w:rPr>
          <w:rFonts w:eastAsiaTheme="minorEastAsia" w:cs="Arial"/>
          <w:sz w:val="22"/>
          <w:lang w:eastAsia="zh-CN"/>
        </w:rPr>
        <w:t xml:space="preserve">dormancy like’ behaviour </w:t>
      </w:r>
      <w:r w:rsidR="009F572D">
        <w:rPr>
          <w:rFonts w:eastAsiaTheme="minorEastAsia" w:cs="Arial"/>
          <w:sz w:val="22"/>
          <w:lang w:eastAsia="zh-CN"/>
        </w:rPr>
        <w:t>on activated SC</w:t>
      </w:r>
      <w:r w:rsidR="009F572D" w:rsidRPr="00267B74">
        <w:rPr>
          <w:rFonts w:eastAsiaTheme="minorEastAsia" w:cs="Arial"/>
          <w:sz w:val="22"/>
          <w:lang w:eastAsia="zh-CN"/>
        </w:rPr>
        <w:t>ells</w:t>
      </w:r>
      <w:r w:rsidR="009F572D">
        <w:rPr>
          <w:rFonts w:eastAsiaTheme="minorEastAsia" w:cs="Arial"/>
          <w:sz w:val="22"/>
          <w:lang w:eastAsia="zh-CN"/>
        </w:rPr>
        <w:t xml:space="preserve"> can further help UE to save power when only small data is required for transmission. Therefore, </w:t>
      </w:r>
      <w:r w:rsidR="009F572D" w:rsidRPr="009F572D">
        <w:rPr>
          <w:rFonts w:eastAsiaTheme="minorEastAsia" w:cs="Arial"/>
          <w:sz w:val="22"/>
          <w:lang w:eastAsia="zh-CN"/>
        </w:rPr>
        <w:t xml:space="preserve">When the UE is outside Active Time, </w:t>
      </w:r>
      <w:r w:rsidR="009F572D">
        <w:rPr>
          <w:rFonts w:eastAsiaTheme="minorEastAsia" w:cs="Arial"/>
          <w:sz w:val="22"/>
          <w:lang w:eastAsia="zh-CN"/>
        </w:rPr>
        <w:t xml:space="preserve">the </w:t>
      </w:r>
      <w:r w:rsidR="009F572D" w:rsidRPr="009F572D">
        <w:rPr>
          <w:rFonts w:eastAsiaTheme="minorEastAsia" w:cs="Arial"/>
          <w:sz w:val="22"/>
          <w:lang w:eastAsia="zh-CN"/>
        </w:rPr>
        <w:t xml:space="preserve">explicit information field for the UE </w:t>
      </w:r>
      <w:r w:rsidR="009F572D">
        <w:rPr>
          <w:rFonts w:eastAsiaTheme="minorEastAsia" w:cs="Arial"/>
          <w:sz w:val="22"/>
          <w:lang w:eastAsia="zh-CN"/>
        </w:rPr>
        <w:t>in the</w:t>
      </w:r>
      <w:r w:rsidR="009F572D" w:rsidRPr="009F572D">
        <w:rPr>
          <w:rFonts w:eastAsiaTheme="minorEastAsia" w:cs="Arial"/>
          <w:sz w:val="22"/>
          <w:lang w:eastAsia="zh-CN"/>
        </w:rPr>
        <w:t xml:space="preserve"> PDCCH WUS</w:t>
      </w:r>
      <w:r w:rsidR="009F572D">
        <w:rPr>
          <w:rFonts w:eastAsiaTheme="minorEastAsia" w:cs="Arial"/>
          <w:sz w:val="22"/>
          <w:lang w:eastAsia="zh-CN"/>
        </w:rPr>
        <w:t xml:space="preserve"> should also be able to be used to indicate transition</w:t>
      </w:r>
      <w:r w:rsidR="009F572D" w:rsidRPr="009F572D">
        <w:rPr>
          <w:rFonts w:eastAsiaTheme="minorEastAsia" w:cs="Arial"/>
          <w:sz w:val="22"/>
          <w:lang w:eastAsia="zh-CN"/>
        </w:rPr>
        <w:t xml:space="preserve"> from ’</w:t>
      </w:r>
      <w:r w:rsidR="009F572D">
        <w:rPr>
          <w:rFonts w:eastAsiaTheme="minorEastAsia" w:cs="Arial"/>
          <w:sz w:val="22"/>
          <w:lang w:eastAsia="zh-CN"/>
        </w:rPr>
        <w:t>non-</w:t>
      </w:r>
      <w:r w:rsidR="009F572D" w:rsidRPr="009F572D">
        <w:rPr>
          <w:rFonts w:eastAsiaTheme="minorEastAsia" w:cs="Arial"/>
          <w:sz w:val="22"/>
          <w:lang w:eastAsia="zh-CN"/>
        </w:rPr>
        <w:t>dormancy-like’ to</w:t>
      </w:r>
      <w:r w:rsidR="009F572D">
        <w:rPr>
          <w:rFonts w:eastAsiaTheme="minorEastAsia" w:cs="Arial"/>
          <w:sz w:val="22"/>
          <w:lang w:eastAsia="zh-CN"/>
        </w:rPr>
        <w:t xml:space="preserve"> ’</w:t>
      </w:r>
      <w:r w:rsidR="009F572D" w:rsidRPr="009F572D">
        <w:rPr>
          <w:rFonts w:eastAsiaTheme="minorEastAsia" w:cs="Arial"/>
          <w:sz w:val="22"/>
          <w:lang w:eastAsia="zh-CN"/>
        </w:rPr>
        <w:t>dormancy like’ behaviour on activated Scells</w:t>
      </w:r>
      <w:r w:rsidR="009F572D">
        <w:rPr>
          <w:rFonts w:eastAsiaTheme="minorEastAsia" w:cs="Arial"/>
          <w:sz w:val="22"/>
          <w:lang w:eastAsia="zh-CN"/>
        </w:rPr>
        <w:t>.</w:t>
      </w:r>
    </w:p>
    <w:p w14:paraId="0980995C" w14:textId="656A2842" w:rsidR="00570B8D" w:rsidRDefault="004604B0" w:rsidP="00F116B8">
      <w:pPr>
        <w:jc w:val="both"/>
        <w:rPr>
          <w:rFonts w:ascii="Arial" w:eastAsia="MS Mincho" w:hAnsi="Arial" w:cs="Arial"/>
          <w:b/>
          <w:sz w:val="28"/>
          <w:szCs w:val="28"/>
        </w:rPr>
      </w:pPr>
      <w:r>
        <w:rPr>
          <w:rFonts w:ascii="Arial" w:hAnsi="Arial" w:cs="Arial"/>
          <w:b/>
          <w:i/>
          <w:u w:val="single"/>
        </w:rPr>
        <w:t>Proposal 9</w:t>
      </w:r>
      <w:r w:rsidR="009F572D" w:rsidRPr="00F55FFC">
        <w:rPr>
          <w:rFonts w:ascii="Arial" w:hAnsi="Arial" w:cs="Arial"/>
          <w:b/>
          <w:i/>
          <w:u w:val="single"/>
        </w:rPr>
        <w:t>:</w:t>
      </w:r>
      <w:r w:rsidR="009F572D" w:rsidRPr="00F116B8">
        <w:rPr>
          <w:rFonts w:ascii="Arial" w:hAnsi="Arial" w:cs="Arial"/>
          <w:b/>
        </w:rPr>
        <w:t xml:space="preserve"> </w:t>
      </w:r>
      <w:r w:rsidR="009F572D" w:rsidRPr="009F572D">
        <w:rPr>
          <w:rFonts w:ascii="Arial" w:eastAsia="MS Mincho" w:hAnsi="Arial" w:cs="Arial"/>
          <w:b/>
          <w:lang w:eastAsia="ja-JP"/>
        </w:rPr>
        <w:t xml:space="preserve">When the UE is outside Active Time, the explicit information field for the UE in the PDCCH WUS </w:t>
      </w:r>
      <w:r w:rsidR="009F572D">
        <w:rPr>
          <w:rFonts w:ascii="Arial" w:eastAsia="MS Mincho" w:hAnsi="Arial" w:cs="Arial"/>
          <w:b/>
          <w:lang w:eastAsia="ja-JP"/>
        </w:rPr>
        <w:t xml:space="preserve">to </w:t>
      </w:r>
      <w:r w:rsidR="009F572D" w:rsidRPr="009F572D">
        <w:rPr>
          <w:rFonts w:ascii="Arial" w:eastAsia="MS Mincho" w:hAnsi="Arial" w:cs="Arial"/>
          <w:b/>
          <w:lang w:eastAsia="ja-JP"/>
        </w:rPr>
        <w:t>indicate transition from ’dormancy-like’ to ’</w:t>
      </w:r>
      <w:r w:rsidR="009F572D">
        <w:rPr>
          <w:rFonts w:ascii="Arial" w:eastAsia="MS Mincho" w:hAnsi="Arial" w:cs="Arial"/>
          <w:b/>
          <w:lang w:eastAsia="ja-JP"/>
        </w:rPr>
        <w:t>non-dormancy-</w:t>
      </w:r>
      <w:r w:rsidR="009F572D" w:rsidRPr="009F572D">
        <w:rPr>
          <w:rFonts w:ascii="Arial" w:eastAsia="MS Mincho" w:hAnsi="Arial" w:cs="Arial"/>
          <w:b/>
          <w:lang w:eastAsia="ja-JP"/>
        </w:rPr>
        <w:t>like’ behaviour</w:t>
      </w:r>
      <w:r w:rsidR="009F572D">
        <w:rPr>
          <w:rFonts w:ascii="Arial" w:eastAsia="MS Mincho" w:hAnsi="Arial" w:cs="Arial"/>
          <w:b/>
          <w:lang w:eastAsia="ja-JP"/>
        </w:rPr>
        <w:t xml:space="preserve"> is also </w:t>
      </w:r>
      <w:r w:rsidR="009F572D" w:rsidRPr="009F572D">
        <w:rPr>
          <w:rFonts w:ascii="Arial" w:eastAsia="MS Mincho" w:hAnsi="Arial" w:cs="Arial"/>
          <w:b/>
          <w:lang w:eastAsia="ja-JP"/>
        </w:rPr>
        <w:t>used to indicate transition from ’non-dormancy-like’ to ’dormancy</w:t>
      </w:r>
      <w:r w:rsidR="00283E3D">
        <w:rPr>
          <w:rFonts w:ascii="Arial" w:eastAsia="MS Mincho" w:hAnsi="Arial" w:cs="Arial"/>
          <w:b/>
          <w:lang w:eastAsia="ja-JP"/>
        </w:rPr>
        <w:t xml:space="preserve"> like’ behaviour on activated SC</w:t>
      </w:r>
      <w:r w:rsidR="009F572D" w:rsidRPr="009F572D">
        <w:rPr>
          <w:rFonts w:ascii="Arial" w:eastAsia="MS Mincho" w:hAnsi="Arial" w:cs="Arial"/>
          <w:b/>
          <w:lang w:eastAsia="ja-JP"/>
        </w:rPr>
        <w:t>ells.</w:t>
      </w:r>
      <w:r w:rsidR="00DA5207">
        <w:rPr>
          <w:rFonts w:ascii="Arial" w:eastAsia="MS Mincho" w:hAnsi="Arial" w:cs="Arial"/>
          <w:b/>
          <w:lang w:eastAsia="ja-JP"/>
        </w:rPr>
        <w:t xml:space="preserve"> </w:t>
      </w:r>
    </w:p>
    <w:p w14:paraId="042A79A8" w14:textId="77777777" w:rsidR="00D70C30" w:rsidRDefault="00D70C30" w:rsidP="00D70C30">
      <w:pPr>
        <w:rPr>
          <w:lang w:eastAsia="zh-CN"/>
        </w:rPr>
      </w:pPr>
    </w:p>
    <w:p w14:paraId="13423D0D" w14:textId="2DD18BC4" w:rsidR="0003374B" w:rsidRPr="00F85516" w:rsidRDefault="00D70C30" w:rsidP="00F85516">
      <w:pPr>
        <w:pStyle w:val="Doc-text2"/>
        <w:tabs>
          <w:tab w:val="left" w:pos="340"/>
        </w:tabs>
        <w:spacing w:before="120" w:after="120"/>
        <w:ind w:left="0" w:firstLine="0"/>
        <w:jc w:val="both"/>
        <w:rPr>
          <w:rFonts w:eastAsiaTheme="minorEastAsia" w:cs="Arial"/>
          <w:sz w:val="22"/>
          <w:lang w:eastAsia="zh-CN"/>
        </w:rPr>
      </w:pPr>
      <w:r w:rsidRPr="00D70C30">
        <w:rPr>
          <w:rFonts w:eastAsiaTheme="minorEastAsia" w:cs="Arial"/>
          <w:sz w:val="22"/>
          <w:lang w:eastAsia="zh-CN"/>
        </w:rPr>
        <w:t>One of the objective to apply SCell dormancy is to achieve UE power saving. How much UE power saving can be obtained depends on how many RF chains can be turned off. Hence, it is more efficient to let the serving cells sharing the same RF chain to be grouped together. Since the relation between RF chain and different CCs depends on UE implementation and cannot known by</w:t>
      </w:r>
      <w:r w:rsidR="00F85516">
        <w:rPr>
          <w:rFonts w:eastAsiaTheme="minorEastAsia" w:cs="Arial"/>
          <w:sz w:val="22"/>
          <w:lang w:eastAsia="zh-CN"/>
        </w:rPr>
        <w:t xml:space="preserve"> the gNB without UE’s reporting, i</w:t>
      </w:r>
      <w:r w:rsidRPr="00D70C30">
        <w:rPr>
          <w:rFonts w:eastAsiaTheme="minorEastAsia" w:cs="Arial"/>
          <w:sz w:val="22"/>
          <w:lang w:eastAsia="zh-CN"/>
        </w:rPr>
        <w:t xml:space="preserve">t is beneficial to let UE report suggested </w:t>
      </w:r>
      <w:r w:rsidR="00F85516">
        <w:rPr>
          <w:rFonts w:eastAsiaTheme="minorEastAsia" w:cs="Arial"/>
          <w:sz w:val="22"/>
          <w:lang w:eastAsia="zh-CN"/>
        </w:rPr>
        <w:t>SCells</w:t>
      </w:r>
      <w:r w:rsidRPr="00D70C30">
        <w:rPr>
          <w:rFonts w:eastAsiaTheme="minorEastAsia" w:cs="Arial"/>
          <w:sz w:val="22"/>
          <w:lang w:eastAsia="zh-CN"/>
        </w:rPr>
        <w:t xml:space="preserve"> group information to gNB.</w:t>
      </w:r>
    </w:p>
    <w:p w14:paraId="37E85AD3" w14:textId="51AE9859" w:rsidR="00D70C30" w:rsidRPr="00BA3174" w:rsidRDefault="00D70C30" w:rsidP="00BA3174">
      <w:pPr>
        <w:jc w:val="both"/>
        <w:rPr>
          <w:rFonts w:ascii="Arial" w:eastAsia="MS Mincho" w:hAnsi="Arial" w:cs="Arial"/>
          <w:b/>
          <w:sz w:val="28"/>
          <w:szCs w:val="28"/>
        </w:rPr>
      </w:pPr>
      <w:r>
        <w:rPr>
          <w:rFonts w:ascii="Arial" w:hAnsi="Arial" w:cs="Arial"/>
          <w:b/>
          <w:i/>
          <w:u w:val="single"/>
        </w:rPr>
        <w:t>P</w:t>
      </w:r>
      <w:r w:rsidR="004604B0">
        <w:rPr>
          <w:rFonts w:ascii="Arial" w:hAnsi="Arial" w:cs="Arial"/>
          <w:b/>
          <w:i/>
          <w:u w:val="single"/>
        </w:rPr>
        <w:t>roposal 10</w:t>
      </w:r>
      <w:r w:rsidRPr="00F55FFC">
        <w:rPr>
          <w:rFonts w:ascii="Arial" w:hAnsi="Arial" w:cs="Arial"/>
          <w:b/>
          <w:i/>
          <w:u w:val="single"/>
        </w:rPr>
        <w:t>:</w:t>
      </w:r>
      <w:r w:rsidRPr="00F116B8">
        <w:rPr>
          <w:rFonts w:ascii="Arial" w:hAnsi="Arial" w:cs="Arial"/>
          <w:b/>
        </w:rPr>
        <w:t xml:space="preserve"> </w:t>
      </w:r>
      <w:r w:rsidR="00BA3174" w:rsidRPr="00BA3174">
        <w:rPr>
          <w:rFonts w:ascii="Arial" w:eastAsia="MS Mincho" w:hAnsi="Arial" w:cs="Arial"/>
          <w:b/>
          <w:lang w:eastAsia="ja-JP"/>
        </w:rPr>
        <w:t>UE should report suggested SCells group information (which SCells share the same RF chain) to gNB for more efficient dormancy indication and achieve better UE power saving.</w:t>
      </w:r>
    </w:p>
    <w:p w14:paraId="67F11F40" w14:textId="77777777" w:rsidR="00D70C30" w:rsidRDefault="00D70C30" w:rsidP="00F116B8">
      <w:pPr>
        <w:jc w:val="both"/>
        <w:rPr>
          <w:rFonts w:ascii="Arial" w:eastAsia="MS Mincho" w:hAnsi="Arial" w:cs="Arial"/>
          <w:b/>
          <w:sz w:val="28"/>
          <w:szCs w:val="28"/>
        </w:rPr>
      </w:pPr>
    </w:p>
    <w:p w14:paraId="2833ED8B" w14:textId="2BD07424" w:rsidR="00C7126B" w:rsidRPr="001424C0" w:rsidRDefault="00C7126B" w:rsidP="00C7126B">
      <w:pPr>
        <w:spacing w:before="120"/>
        <w:rPr>
          <w:rFonts w:ascii="Arial" w:hAnsi="Arial" w:cs="Arial"/>
          <w:szCs w:val="20"/>
        </w:rPr>
      </w:pPr>
      <w:r w:rsidRPr="001424C0">
        <w:rPr>
          <w:rFonts w:ascii="Arial" w:hAnsi="Arial" w:cs="Arial"/>
          <w:szCs w:val="20"/>
        </w:rPr>
        <w:t>For the WUS signal, RAN2 have agreed in RAN2#107 meeting</w:t>
      </w:r>
      <w:r w:rsidR="001424C0" w:rsidRPr="001424C0">
        <w:rPr>
          <w:rFonts w:ascii="Arial" w:hAnsi="Arial" w:cs="Arial"/>
          <w:szCs w:val="20"/>
        </w:rPr>
        <w:t xml:space="preserve"> that</w:t>
      </w:r>
      <w:r w:rsidRPr="001424C0">
        <w:rPr>
          <w:rFonts w:ascii="Arial" w:hAnsi="Arial" w:cs="Arial"/>
          <w:szCs w:val="20"/>
        </w:rPr>
        <w:t>:</w:t>
      </w:r>
    </w:p>
    <w:p w14:paraId="01AF5499" w14:textId="7C7B4C0B" w:rsidR="00C7126B" w:rsidRPr="00C7126B" w:rsidRDefault="00C7126B" w:rsidP="00C7126B">
      <w:pPr>
        <w:rPr>
          <w:szCs w:val="20"/>
          <w:lang w:eastAsia="x-none"/>
        </w:rPr>
      </w:pPr>
      <w:r w:rsidRPr="001E441C">
        <w:rPr>
          <w:szCs w:val="20"/>
          <w:highlight w:val="green"/>
          <w:lang w:eastAsia="x-none"/>
        </w:rPr>
        <w:t>Agreements</w:t>
      </w:r>
      <w:r>
        <w:rPr>
          <w:szCs w:val="20"/>
          <w:lang w:eastAsia="x-none"/>
        </w:rPr>
        <w:t>:</w:t>
      </w:r>
    </w:p>
    <w:p w14:paraId="6B2CC310" w14:textId="77777777" w:rsidR="00C7126B" w:rsidRPr="00C7126B" w:rsidRDefault="00C7126B" w:rsidP="00C7126B">
      <w:pPr>
        <w:pStyle w:val="Doc-text2"/>
        <w:numPr>
          <w:ilvl w:val="0"/>
          <w:numId w:val="41"/>
        </w:numPr>
        <w:tabs>
          <w:tab w:val="clear" w:pos="1622"/>
        </w:tabs>
        <w:spacing w:after="0" w:line="240" w:lineRule="auto"/>
        <w:rPr>
          <w:rFonts w:cs="Arial"/>
          <w:szCs w:val="20"/>
          <w:lang w:val="en-GB"/>
        </w:rPr>
      </w:pPr>
      <w:r>
        <w:rPr>
          <w:lang w:val="en-GB"/>
        </w:rPr>
        <w:t>On a PDCCH-WUS occasion that a UE is monitoring, if the UE is indicated to wake-up to monitor the PDCCH during the next occurrence of the drx-onDurationTimer, the UE starts the drx-onDurationTimer at its next occasion. Otherwise it does not.</w:t>
      </w:r>
    </w:p>
    <w:p w14:paraId="791DC994" w14:textId="5C5058AF" w:rsidR="00C7126B" w:rsidRDefault="001424C0" w:rsidP="00C7126B">
      <w:pPr>
        <w:pStyle w:val="Doc-text2"/>
        <w:numPr>
          <w:ilvl w:val="0"/>
          <w:numId w:val="41"/>
        </w:numPr>
        <w:tabs>
          <w:tab w:val="clear" w:pos="1622"/>
        </w:tabs>
        <w:spacing w:after="0" w:line="240" w:lineRule="auto"/>
        <w:rPr>
          <w:rFonts w:cs="Arial"/>
          <w:szCs w:val="20"/>
          <w:lang w:val="en-GB"/>
        </w:rPr>
      </w:pPr>
      <w:r>
        <w:rPr>
          <w:rFonts w:cs="Arial"/>
          <w:szCs w:val="20"/>
          <w:lang w:val="en-GB"/>
        </w:rPr>
        <w:t xml:space="preserve">Note: </w:t>
      </w:r>
      <w:r w:rsidR="00C7126B">
        <w:rPr>
          <w:rFonts w:cs="Arial"/>
          <w:szCs w:val="20"/>
          <w:lang w:val="en-GB"/>
        </w:rPr>
        <w:t>Based on the above RAN2 agreements, as a consequence, RAN2 understands the UE would not report P/SP SRS and CSI during the next on-duration if PDCCH-WUS does not wake the UE up.</w:t>
      </w:r>
    </w:p>
    <w:p w14:paraId="5903D125" w14:textId="77777777" w:rsidR="00C7126B" w:rsidRDefault="00C7126B" w:rsidP="00F116B8">
      <w:pPr>
        <w:jc w:val="both"/>
        <w:rPr>
          <w:rFonts w:ascii="Arial" w:eastAsia="MS Mincho" w:hAnsi="Arial" w:cs="Arial"/>
          <w:b/>
          <w:sz w:val="28"/>
          <w:szCs w:val="28"/>
        </w:rPr>
      </w:pPr>
    </w:p>
    <w:p w14:paraId="55709D53" w14:textId="51705C4A" w:rsidR="001424C0" w:rsidRPr="00960BEC" w:rsidRDefault="001424C0" w:rsidP="001424C0">
      <w:pPr>
        <w:jc w:val="both"/>
        <w:rPr>
          <w:rFonts w:ascii="Arial" w:hAnsi="Arial" w:cs="Arial"/>
        </w:rPr>
      </w:pPr>
      <w:r>
        <w:rPr>
          <w:rFonts w:ascii="Arial" w:hAnsi="Arial" w:cs="Arial"/>
        </w:rPr>
        <w:t xml:space="preserve">Based on our understanding, DRX on-duration provides a window during which P/SP CSI </w:t>
      </w:r>
      <w:r w:rsidR="00CD146C">
        <w:rPr>
          <w:rFonts w:ascii="Arial" w:hAnsi="Arial" w:cs="Arial"/>
        </w:rPr>
        <w:t xml:space="preserve">report </w:t>
      </w:r>
      <w:r>
        <w:rPr>
          <w:rFonts w:ascii="Arial" w:hAnsi="Arial" w:cs="Arial"/>
        </w:rPr>
        <w:t xml:space="preserve">and SRS </w:t>
      </w:r>
      <w:r w:rsidR="00CD146C">
        <w:rPr>
          <w:rFonts w:ascii="Arial" w:hAnsi="Arial" w:cs="Arial"/>
        </w:rPr>
        <w:t xml:space="preserve">transmission </w:t>
      </w:r>
      <w:r>
        <w:rPr>
          <w:rFonts w:ascii="Arial" w:hAnsi="Arial" w:cs="Arial"/>
        </w:rPr>
        <w:t xml:space="preserve">can be performed to maintain link quality. In addition, in RAN1 AH1901 meeting, it was agreed a periodicity of max(DRX cycle, [160 msec]) is assumed for periodic activities, e.g., time/frequency, channel or beam tracking, in evaluation. According to RAN2’s agreements, in order to maintain link quality, UE may be forced to be waken up periodically to start </w:t>
      </w:r>
      <w:r w:rsidRPr="008D09F8">
        <w:rPr>
          <w:rFonts w:ascii="Arial" w:hAnsi="Arial" w:cs="Arial"/>
          <w:i/>
        </w:rPr>
        <w:t>drx-onDurationTimer</w:t>
      </w:r>
      <w:r>
        <w:rPr>
          <w:rFonts w:ascii="Arial" w:hAnsi="Arial" w:cs="Arial"/>
        </w:rPr>
        <w:t xml:space="preserve"> </w:t>
      </w:r>
      <w:r>
        <w:rPr>
          <w:rFonts w:ascii="Arial" w:hAnsi="Arial" w:cs="Arial"/>
        </w:rPr>
        <w:lastRenderedPageBreak/>
        <w:t xml:space="preserve">for </w:t>
      </w:r>
      <w:r w:rsidR="00CD146C">
        <w:rPr>
          <w:rFonts w:ascii="Arial" w:hAnsi="Arial" w:cs="Arial"/>
        </w:rPr>
        <w:t>P/SP CSI report and SRS transmission</w:t>
      </w:r>
      <w:r>
        <w:rPr>
          <w:rFonts w:ascii="Arial" w:hAnsi="Arial" w:cs="Arial"/>
        </w:rPr>
        <w:t xml:space="preserve"> even if there is no data for the UE. This will conflict the benefit of introducing WUS regarding the need of link maintenance. </w:t>
      </w:r>
    </w:p>
    <w:p w14:paraId="1167221F" w14:textId="7BFF9D64" w:rsidR="001424C0" w:rsidRPr="00CD146C" w:rsidRDefault="001424C0" w:rsidP="00F116B8">
      <w:pPr>
        <w:jc w:val="both"/>
        <w:rPr>
          <w:rFonts w:ascii="Arial" w:eastAsia="MS Mincho" w:hAnsi="Arial" w:cs="Arial"/>
          <w:b/>
          <w:lang w:eastAsia="ja-JP"/>
        </w:rPr>
      </w:pPr>
      <w:r>
        <w:rPr>
          <w:rFonts w:ascii="Arial" w:hAnsi="Arial" w:cs="Arial"/>
          <w:b/>
          <w:i/>
          <w:u w:val="single"/>
        </w:rPr>
        <w:t>Observation 1</w:t>
      </w:r>
      <w:r w:rsidRPr="00F55FFC">
        <w:rPr>
          <w:rFonts w:ascii="Arial" w:hAnsi="Arial" w:cs="Arial"/>
          <w:b/>
          <w:i/>
          <w:u w:val="single"/>
        </w:rPr>
        <w:t>:</w:t>
      </w:r>
      <w:r w:rsidRPr="00F116B8">
        <w:rPr>
          <w:rFonts w:ascii="Arial" w:hAnsi="Arial" w:cs="Arial"/>
          <w:b/>
        </w:rPr>
        <w:t xml:space="preserve"> </w:t>
      </w:r>
      <w:r>
        <w:rPr>
          <w:rFonts w:ascii="Arial" w:eastAsia="MS Mincho" w:hAnsi="Arial" w:cs="Arial"/>
          <w:b/>
          <w:lang w:eastAsia="ja-JP"/>
        </w:rPr>
        <w:t xml:space="preserve">Based on current RAN2 agreement, </w:t>
      </w:r>
      <w:r w:rsidR="00CD146C">
        <w:rPr>
          <w:rFonts w:ascii="Arial" w:eastAsia="MS Mincho" w:hAnsi="Arial" w:cs="Arial"/>
          <w:b/>
          <w:lang w:eastAsia="ja-JP"/>
        </w:rPr>
        <w:t>UE would not perform</w:t>
      </w:r>
      <w:r w:rsidRPr="001424C0">
        <w:rPr>
          <w:rFonts w:ascii="Arial" w:eastAsia="MS Mincho" w:hAnsi="Arial" w:cs="Arial"/>
          <w:b/>
          <w:lang w:eastAsia="ja-JP"/>
        </w:rPr>
        <w:t xml:space="preserve"> P/SP SRS</w:t>
      </w:r>
      <w:r w:rsidR="00CD146C">
        <w:rPr>
          <w:rFonts w:ascii="Arial" w:eastAsia="MS Mincho" w:hAnsi="Arial" w:cs="Arial"/>
          <w:b/>
          <w:lang w:eastAsia="ja-JP"/>
        </w:rPr>
        <w:t xml:space="preserve"> transmission</w:t>
      </w:r>
      <w:r w:rsidRPr="001424C0">
        <w:rPr>
          <w:rFonts w:ascii="Arial" w:eastAsia="MS Mincho" w:hAnsi="Arial" w:cs="Arial"/>
          <w:b/>
          <w:lang w:eastAsia="ja-JP"/>
        </w:rPr>
        <w:t xml:space="preserve"> and CSI</w:t>
      </w:r>
      <w:r w:rsidR="00CD146C">
        <w:rPr>
          <w:rFonts w:ascii="Arial" w:eastAsia="MS Mincho" w:hAnsi="Arial" w:cs="Arial"/>
          <w:b/>
          <w:lang w:eastAsia="ja-JP"/>
        </w:rPr>
        <w:t xml:space="preserve"> report</w:t>
      </w:r>
      <w:r w:rsidRPr="001424C0">
        <w:rPr>
          <w:rFonts w:ascii="Arial" w:eastAsia="MS Mincho" w:hAnsi="Arial" w:cs="Arial"/>
          <w:b/>
          <w:lang w:eastAsia="ja-JP"/>
        </w:rPr>
        <w:t xml:space="preserve"> during the next on-duration if PDCCH-WUS does not wake the UE up. </w:t>
      </w:r>
      <w:r>
        <w:rPr>
          <w:rFonts w:ascii="Arial" w:eastAsia="MS Mincho" w:hAnsi="Arial" w:cs="Arial"/>
          <w:b/>
          <w:lang w:eastAsia="ja-JP"/>
        </w:rPr>
        <w:t>I</w:t>
      </w:r>
      <w:r w:rsidRPr="001424C0">
        <w:rPr>
          <w:rFonts w:ascii="Arial" w:eastAsia="MS Mincho" w:hAnsi="Arial" w:cs="Arial"/>
          <w:b/>
          <w:lang w:eastAsia="ja-JP"/>
        </w:rPr>
        <w:t xml:space="preserve">n order to maintain link quality, UE may be forced to be waken up periodically to start drx-onDurationTimer for </w:t>
      </w:r>
      <w:r w:rsidR="00CD146C" w:rsidRPr="00CD146C">
        <w:rPr>
          <w:rFonts w:ascii="Arial" w:eastAsia="MS Mincho" w:hAnsi="Arial" w:cs="Arial"/>
          <w:b/>
          <w:lang w:eastAsia="ja-JP"/>
        </w:rPr>
        <w:t>P/SP CSI report and SRS transmission</w:t>
      </w:r>
      <w:r w:rsidRPr="001424C0">
        <w:rPr>
          <w:rFonts w:ascii="Arial" w:eastAsia="MS Mincho" w:hAnsi="Arial" w:cs="Arial"/>
          <w:b/>
          <w:lang w:eastAsia="ja-JP"/>
        </w:rPr>
        <w:t xml:space="preserve"> even if there is no data for the UE. This will conflict the benefit of introducing WUS regarding the need of link maintenance.</w:t>
      </w:r>
    </w:p>
    <w:p w14:paraId="027B5F9F" w14:textId="77777777" w:rsidR="00C7126B" w:rsidRPr="0003374B" w:rsidRDefault="00C7126B" w:rsidP="00F116B8">
      <w:pPr>
        <w:jc w:val="both"/>
        <w:rPr>
          <w:rFonts w:ascii="Arial" w:eastAsia="MS Mincho" w:hAnsi="Arial" w:cs="Arial"/>
          <w:b/>
          <w:sz w:val="28"/>
          <w:szCs w:val="28"/>
        </w:rPr>
      </w:pPr>
    </w:p>
    <w:p w14:paraId="7974A966" w14:textId="7654F9EB" w:rsidR="009F572D" w:rsidRDefault="00B2157E" w:rsidP="00F116B8">
      <w:pPr>
        <w:jc w:val="both"/>
        <w:rPr>
          <w:rFonts w:ascii="Arial" w:eastAsia="MS Mincho" w:hAnsi="Arial" w:cs="Arial"/>
          <w:b/>
          <w:sz w:val="28"/>
          <w:szCs w:val="28"/>
          <w:lang w:val="en-GB"/>
        </w:rPr>
      </w:pPr>
      <w:r>
        <w:rPr>
          <w:rFonts w:ascii="Arial" w:eastAsia="MS Mincho" w:hAnsi="Arial" w:cs="Arial"/>
          <w:b/>
          <w:sz w:val="28"/>
          <w:szCs w:val="28"/>
          <w:u w:val="single"/>
          <w:lang w:val="en-GB"/>
        </w:rPr>
        <w:t>2.5</w:t>
      </w:r>
      <w:r w:rsidR="00476B1B" w:rsidRPr="00F116B8">
        <w:rPr>
          <w:rFonts w:ascii="Arial" w:eastAsia="MS Mincho" w:hAnsi="Arial" w:cs="Arial"/>
          <w:b/>
          <w:sz w:val="28"/>
          <w:szCs w:val="28"/>
          <w:u w:val="single"/>
          <w:lang w:val="en-GB"/>
        </w:rPr>
        <w:t xml:space="preserve"> </w:t>
      </w:r>
      <w:r w:rsidR="00476B1B">
        <w:rPr>
          <w:rFonts w:ascii="Arial" w:eastAsia="MS Mincho" w:hAnsi="Arial" w:cs="Arial"/>
          <w:b/>
          <w:sz w:val="28"/>
          <w:szCs w:val="28"/>
          <w:u w:val="single"/>
          <w:lang w:val="en-GB"/>
        </w:rPr>
        <w:t xml:space="preserve">SCell (s) </w:t>
      </w:r>
      <w:r w:rsidR="00476B1B" w:rsidRPr="00F116B8">
        <w:rPr>
          <w:rFonts w:ascii="Arial" w:eastAsia="MS Mincho" w:hAnsi="Arial" w:cs="Arial"/>
          <w:b/>
          <w:sz w:val="28"/>
          <w:szCs w:val="28"/>
          <w:u w:val="single"/>
          <w:lang w:val="en-GB"/>
        </w:rPr>
        <w:t xml:space="preserve">dormancy behaviour </w:t>
      </w:r>
      <w:r w:rsidR="00476B1B">
        <w:rPr>
          <w:rFonts w:ascii="Arial" w:eastAsia="MS Mincho" w:hAnsi="Arial" w:cs="Arial"/>
          <w:b/>
          <w:sz w:val="28"/>
          <w:szCs w:val="28"/>
          <w:u w:val="single"/>
          <w:lang w:val="en-GB"/>
        </w:rPr>
        <w:t>and the corresponding transition mechanism inside active time</w:t>
      </w:r>
    </w:p>
    <w:p w14:paraId="0992EC0B" w14:textId="1254FD07" w:rsidR="00476B1B" w:rsidRPr="00DF7EFB" w:rsidRDefault="00DF7EFB" w:rsidP="00DF7EFB">
      <w:pPr>
        <w:pStyle w:val="Doc-text2"/>
        <w:tabs>
          <w:tab w:val="left" w:pos="340"/>
        </w:tabs>
        <w:spacing w:before="120" w:after="120"/>
        <w:ind w:left="0" w:firstLine="0"/>
        <w:jc w:val="both"/>
        <w:rPr>
          <w:rFonts w:eastAsiaTheme="minorEastAsia" w:cs="Arial"/>
          <w:sz w:val="22"/>
          <w:lang w:eastAsia="zh-CN"/>
        </w:rPr>
      </w:pPr>
      <w:r w:rsidRPr="00980713">
        <w:rPr>
          <w:rFonts w:eastAsiaTheme="minorEastAsia" w:cs="Arial"/>
          <w:sz w:val="22"/>
          <w:lang w:eastAsia="zh-CN"/>
        </w:rPr>
        <w:t xml:space="preserve">In </w:t>
      </w:r>
      <w:r w:rsidR="00842F10">
        <w:rPr>
          <w:rFonts w:eastAsiaTheme="minorEastAsia" w:cs="Arial"/>
          <w:sz w:val="22"/>
          <w:lang w:eastAsia="zh-CN"/>
        </w:rPr>
        <w:t xml:space="preserve">the email discussion after </w:t>
      </w:r>
      <w:r>
        <w:rPr>
          <w:rFonts w:eastAsiaTheme="minorEastAsia" w:cs="Arial"/>
          <w:sz w:val="22"/>
          <w:lang w:eastAsia="zh-CN"/>
        </w:rPr>
        <w:t>RAN1 #98-bis meeting, it is agreed</w:t>
      </w:r>
      <w:r w:rsidR="00842F10">
        <w:rPr>
          <w:rFonts w:eastAsiaTheme="minorEastAsia" w:cs="Arial"/>
          <w:sz w:val="22"/>
          <w:lang w:eastAsia="zh-CN"/>
        </w:rPr>
        <w:t xml:space="preserve"> by working assumption</w:t>
      </w:r>
      <w:r>
        <w:rPr>
          <w:rFonts w:eastAsiaTheme="minorEastAsia" w:cs="Arial"/>
          <w:sz w:val="22"/>
          <w:lang w:eastAsia="zh-CN"/>
        </w:rPr>
        <w:t xml:space="preserve"> to use both scheduling (Case 1) and non-scheduling (Case 2) DCI to indicate SCell (s) dormancy. </w:t>
      </w:r>
      <w:r w:rsidR="00754F17">
        <w:rPr>
          <w:rFonts w:eastAsiaTheme="minorEastAsia" w:cs="Arial"/>
          <w:sz w:val="22"/>
          <w:lang w:eastAsia="zh-CN"/>
        </w:rPr>
        <w:t>Here we discuss the remaining details of Case 1 and Case 2.</w:t>
      </w:r>
    </w:p>
    <w:p w14:paraId="64761013" w14:textId="5CC556E6" w:rsidR="00476B1B" w:rsidRDefault="00B2157E" w:rsidP="00F116B8">
      <w:pPr>
        <w:jc w:val="both"/>
        <w:rPr>
          <w:rFonts w:ascii="Arial" w:eastAsia="MS Mincho" w:hAnsi="Arial" w:cs="Arial"/>
          <w:b/>
          <w:sz w:val="28"/>
          <w:szCs w:val="28"/>
          <w:lang w:val="en-GB"/>
        </w:rPr>
      </w:pPr>
      <w:r>
        <w:rPr>
          <w:rFonts w:ascii="Arial" w:eastAsia="MS Mincho" w:hAnsi="Arial" w:cs="Arial"/>
          <w:b/>
          <w:sz w:val="28"/>
          <w:szCs w:val="28"/>
          <w:lang w:val="en-GB"/>
        </w:rPr>
        <w:t>2.5</w:t>
      </w:r>
      <w:r w:rsidR="00754F17">
        <w:rPr>
          <w:rFonts w:ascii="Arial" w:eastAsia="MS Mincho" w:hAnsi="Arial" w:cs="Arial"/>
          <w:b/>
          <w:sz w:val="28"/>
          <w:szCs w:val="28"/>
          <w:lang w:val="en-GB"/>
        </w:rPr>
        <w:t>.1 Case</w:t>
      </w:r>
      <w:r w:rsidR="002918A5">
        <w:rPr>
          <w:rFonts w:ascii="Arial" w:eastAsia="MS Mincho" w:hAnsi="Arial" w:cs="Arial"/>
          <w:b/>
          <w:sz w:val="28"/>
          <w:szCs w:val="28"/>
          <w:lang w:val="en-GB"/>
        </w:rPr>
        <w:t xml:space="preserve"> </w:t>
      </w:r>
      <w:r w:rsidR="00754F17">
        <w:rPr>
          <w:rFonts w:ascii="Arial" w:eastAsia="MS Mincho" w:hAnsi="Arial" w:cs="Arial"/>
          <w:b/>
          <w:sz w:val="28"/>
          <w:szCs w:val="28"/>
          <w:lang w:val="en-GB"/>
        </w:rPr>
        <w:t>1 or Case 2 distinction within the PDCCH</w:t>
      </w:r>
    </w:p>
    <w:p w14:paraId="5AF04F88" w14:textId="486FD09F" w:rsidR="00754F17" w:rsidRDefault="00416B32" w:rsidP="00754F17">
      <w:pPr>
        <w:pStyle w:val="Doc-text2"/>
        <w:tabs>
          <w:tab w:val="left" w:pos="340"/>
        </w:tabs>
        <w:spacing w:before="120" w:after="120"/>
        <w:ind w:left="0" w:firstLine="0"/>
        <w:jc w:val="both"/>
        <w:rPr>
          <w:rFonts w:eastAsiaTheme="minorEastAsia" w:cs="Arial"/>
          <w:sz w:val="22"/>
          <w:lang w:val="en-GB" w:eastAsia="zh-CN"/>
        </w:rPr>
      </w:pPr>
      <w:r>
        <w:rPr>
          <w:rFonts w:eastAsiaTheme="minorEastAsia" w:cs="Arial"/>
          <w:sz w:val="22"/>
          <w:lang w:val="en-GB" w:eastAsia="zh-CN"/>
        </w:rPr>
        <w:t>To decrease UE’s DCI parsing effort, o</w:t>
      </w:r>
      <w:r w:rsidR="009335D9">
        <w:rPr>
          <w:rFonts w:eastAsiaTheme="minorEastAsia" w:cs="Arial"/>
          <w:sz w:val="22"/>
          <w:lang w:val="en-GB" w:eastAsia="zh-CN"/>
        </w:rPr>
        <w:t>ne additional dedicated bit</w:t>
      </w:r>
      <w:r>
        <w:rPr>
          <w:rFonts w:eastAsiaTheme="minorEastAsia" w:cs="Arial"/>
          <w:sz w:val="22"/>
          <w:lang w:val="en-GB" w:eastAsia="zh-CN"/>
        </w:rPr>
        <w:t xml:space="preserve"> to the PDCCH</w:t>
      </w:r>
      <w:r w:rsidR="009335D9">
        <w:rPr>
          <w:rFonts w:eastAsiaTheme="minorEastAsia" w:cs="Arial"/>
          <w:sz w:val="22"/>
          <w:lang w:val="en-GB" w:eastAsia="zh-CN"/>
        </w:rPr>
        <w:t xml:space="preserve"> can be used to distinguish Case 1 and Case 2.</w:t>
      </w:r>
    </w:p>
    <w:p w14:paraId="21E3A3D7" w14:textId="163F07AD" w:rsidR="00416B32" w:rsidRPr="00416B32" w:rsidRDefault="004604B0" w:rsidP="00754F17">
      <w:pPr>
        <w:pStyle w:val="Doc-text2"/>
        <w:tabs>
          <w:tab w:val="left" w:pos="340"/>
        </w:tabs>
        <w:spacing w:before="120" w:after="120"/>
        <w:ind w:left="0" w:firstLine="0"/>
        <w:jc w:val="both"/>
        <w:rPr>
          <w:rFonts w:cs="Arial"/>
          <w:b/>
          <w:sz w:val="22"/>
          <w:lang w:eastAsia="ja-JP"/>
        </w:rPr>
      </w:pPr>
      <w:r>
        <w:rPr>
          <w:rFonts w:cs="Arial"/>
          <w:b/>
          <w:i/>
          <w:sz w:val="22"/>
          <w:u w:val="single"/>
        </w:rPr>
        <w:t>Proposal 11</w:t>
      </w:r>
      <w:r w:rsidR="00416B32" w:rsidRPr="00416B32">
        <w:rPr>
          <w:rFonts w:cs="Arial"/>
          <w:b/>
          <w:i/>
          <w:sz w:val="22"/>
          <w:u w:val="single"/>
        </w:rPr>
        <w:t>:</w:t>
      </w:r>
      <w:r w:rsidR="00416B32" w:rsidRPr="00416B32">
        <w:rPr>
          <w:rFonts w:cs="Arial"/>
          <w:b/>
          <w:sz w:val="22"/>
        </w:rPr>
        <w:t xml:space="preserve"> </w:t>
      </w:r>
      <w:r w:rsidR="00416B32" w:rsidRPr="00416B32">
        <w:rPr>
          <w:rFonts w:cs="Arial"/>
          <w:b/>
          <w:sz w:val="22"/>
          <w:lang w:eastAsia="ja-JP"/>
        </w:rPr>
        <w:t xml:space="preserve">One additional dedicated bit </w:t>
      </w:r>
      <w:r w:rsidR="00F873F6">
        <w:rPr>
          <w:rFonts w:cs="Arial"/>
          <w:b/>
          <w:sz w:val="22"/>
          <w:lang w:eastAsia="ja-JP"/>
        </w:rPr>
        <w:t xml:space="preserve">is added to the PDCCH </w:t>
      </w:r>
      <w:r w:rsidR="00416B32" w:rsidRPr="00416B32">
        <w:rPr>
          <w:rFonts w:cs="Arial"/>
          <w:b/>
          <w:sz w:val="22"/>
          <w:lang w:eastAsia="ja-JP"/>
        </w:rPr>
        <w:t>to distinguish Case 1 and Case 2.</w:t>
      </w:r>
    </w:p>
    <w:p w14:paraId="41848C71" w14:textId="5E14BDE1" w:rsidR="00570B8D" w:rsidRDefault="00B2157E" w:rsidP="00754F17">
      <w:pPr>
        <w:pStyle w:val="Doc-text2"/>
        <w:tabs>
          <w:tab w:val="left" w:pos="340"/>
        </w:tabs>
        <w:spacing w:before="120" w:after="120"/>
        <w:ind w:left="0" w:firstLine="0"/>
        <w:jc w:val="both"/>
        <w:rPr>
          <w:rFonts w:eastAsiaTheme="minorEastAsia" w:cs="Arial"/>
          <w:sz w:val="22"/>
          <w:lang w:eastAsia="zh-CN"/>
        </w:rPr>
      </w:pPr>
      <w:r>
        <w:rPr>
          <w:rFonts w:cs="Arial"/>
          <w:b/>
          <w:sz w:val="28"/>
          <w:szCs w:val="28"/>
          <w:lang w:val="en-GB"/>
        </w:rPr>
        <w:t>2.5</w:t>
      </w:r>
      <w:r w:rsidR="000E5159">
        <w:rPr>
          <w:rFonts w:cs="Arial"/>
          <w:b/>
          <w:sz w:val="28"/>
          <w:szCs w:val="28"/>
          <w:lang w:val="en-GB"/>
        </w:rPr>
        <w:t>.2</w:t>
      </w:r>
      <w:r w:rsidR="002918A5">
        <w:rPr>
          <w:rFonts w:cs="Arial"/>
          <w:b/>
          <w:sz w:val="28"/>
          <w:szCs w:val="28"/>
          <w:lang w:val="en-GB"/>
        </w:rPr>
        <w:t xml:space="preserve"> Case 2</w:t>
      </w:r>
      <w:r w:rsidR="00416B32">
        <w:rPr>
          <w:rFonts w:cs="Arial"/>
          <w:b/>
          <w:sz w:val="28"/>
          <w:szCs w:val="28"/>
          <w:lang w:val="en-GB"/>
        </w:rPr>
        <w:t xml:space="preserve"> design details</w:t>
      </w:r>
    </w:p>
    <w:p w14:paraId="616CA186" w14:textId="616BF730" w:rsidR="00CC4E30" w:rsidRDefault="0044177D" w:rsidP="002548A3">
      <w:pPr>
        <w:pStyle w:val="Doc-text2"/>
        <w:tabs>
          <w:tab w:val="left" w:pos="340"/>
        </w:tabs>
        <w:spacing w:before="120" w:after="120"/>
        <w:ind w:left="0" w:firstLine="0"/>
        <w:jc w:val="both"/>
        <w:rPr>
          <w:rFonts w:eastAsiaTheme="minorEastAsia" w:cs="Arial"/>
          <w:sz w:val="22"/>
          <w:lang w:eastAsia="zh-TW"/>
        </w:rPr>
      </w:pPr>
      <w:r>
        <w:rPr>
          <w:rFonts w:eastAsiaTheme="minorEastAsia" w:cs="Arial"/>
          <w:sz w:val="22"/>
          <w:lang w:eastAsia="zh-CN"/>
        </w:rPr>
        <w:t>For Case 2, it is a non-scheduling DCI dedicated for SCells dormancy indication</w:t>
      </w:r>
      <w:r w:rsidR="00234D9C">
        <w:rPr>
          <w:rFonts w:eastAsiaTheme="minorEastAsia" w:cs="Arial"/>
          <w:sz w:val="22"/>
          <w:lang w:eastAsia="zh-CN"/>
        </w:rPr>
        <w:t xml:space="preserve">. </w:t>
      </w:r>
      <w:r w:rsidR="00234D9C">
        <w:rPr>
          <w:rFonts w:eastAsiaTheme="minorEastAsia" w:cs="Arial" w:hint="eastAsia"/>
          <w:sz w:val="22"/>
          <w:lang w:eastAsia="zh-TW"/>
        </w:rPr>
        <w:t>Es</w:t>
      </w:r>
      <w:r w:rsidR="00234D9C">
        <w:rPr>
          <w:rFonts w:eastAsiaTheme="minorEastAsia" w:cs="Arial"/>
          <w:sz w:val="22"/>
          <w:lang w:eastAsia="zh-TW"/>
        </w:rPr>
        <w:t xml:space="preserve">sentially only 15 bits are required since there can be at most 15 configured SCells. However, </w:t>
      </w:r>
      <w:r w:rsidR="00234D9C" w:rsidRPr="00234D9C">
        <w:rPr>
          <w:rFonts w:eastAsiaTheme="minorEastAsia" w:cs="Arial"/>
          <w:sz w:val="22"/>
          <w:lang w:eastAsia="zh-TW"/>
        </w:rPr>
        <w:t>to fulfill UE capabilities on 3+1 DCI format size monitoring, it still needs to align its size to scheduling DCI (about 70~80 bits) or fallback DCI (about 40bits). The DCI size would be much larger than 15bits.</w:t>
      </w:r>
      <w:r w:rsidR="00234D9C">
        <w:rPr>
          <w:rFonts w:eastAsiaTheme="minorEastAsia" w:cs="Arial"/>
          <w:sz w:val="22"/>
          <w:lang w:eastAsia="zh-TW"/>
        </w:rPr>
        <w:t xml:space="preserve"> </w:t>
      </w:r>
      <w:r w:rsidR="002548A3">
        <w:rPr>
          <w:rFonts w:eastAsiaTheme="minorEastAsia" w:cs="Arial"/>
          <w:sz w:val="22"/>
          <w:lang w:eastAsia="zh-TW"/>
        </w:rPr>
        <w:t xml:space="preserve">To fully utilize the remaining unused DCI bits, some additional features can be added. First of all, </w:t>
      </w:r>
      <w:r w:rsidR="002548A3" w:rsidRPr="002548A3">
        <w:rPr>
          <w:rFonts w:eastAsiaTheme="minorEastAsia" w:cs="Arial"/>
          <w:sz w:val="22"/>
          <w:lang w:eastAsia="zh-TW"/>
        </w:rPr>
        <w:t>w</w:t>
      </w:r>
      <w:r w:rsidR="00CC4E30" w:rsidRPr="002548A3">
        <w:rPr>
          <w:rFonts w:eastAsiaTheme="minorEastAsia" w:cs="Arial"/>
          <w:sz w:val="22"/>
          <w:lang w:eastAsia="zh-TW"/>
        </w:rPr>
        <w:t>hen SCells are entering dormancy, it is very likely that PCell should also be switched to the power saving or small bandwidth BWP.</w:t>
      </w:r>
      <w:r w:rsidR="002548A3" w:rsidRPr="002548A3">
        <w:rPr>
          <w:rFonts w:eastAsiaTheme="minorEastAsia" w:cs="Arial"/>
          <w:sz w:val="22"/>
          <w:lang w:eastAsia="zh-TW"/>
        </w:rPr>
        <w:t xml:space="preserve"> </w:t>
      </w:r>
      <w:r w:rsidR="00CC4E30" w:rsidRPr="002548A3">
        <w:rPr>
          <w:rFonts w:eastAsiaTheme="minorEastAsia" w:cs="Arial"/>
          <w:sz w:val="22"/>
          <w:lang w:eastAsia="zh-TW"/>
        </w:rPr>
        <w:t>When SCells are leaving dormancy, PCell should also be switched to a data efficient or large bandwidth BWP.</w:t>
      </w:r>
      <w:r w:rsidR="002548A3" w:rsidRPr="002548A3">
        <w:rPr>
          <w:rFonts w:eastAsiaTheme="minorEastAsia" w:cs="Arial"/>
          <w:sz w:val="22"/>
          <w:lang w:eastAsia="zh-TW"/>
        </w:rPr>
        <w:t xml:space="preserve"> </w:t>
      </w:r>
      <w:r w:rsidR="002548A3">
        <w:rPr>
          <w:rFonts w:eastAsiaTheme="minorEastAsia" w:cs="Arial"/>
          <w:sz w:val="22"/>
          <w:lang w:eastAsia="zh-TW"/>
        </w:rPr>
        <w:t>Hence, two additional bits for PCell BWP switching should also be added to the Case 2 DCI</w:t>
      </w:r>
      <w:r w:rsidR="007B5FC6">
        <w:rPr>
          <w:rFonts w:eastAsiaTheme="minorEastAsia" w:cs="Arial"/>
          <w:sz w:val="22"/>
          <w:lang w:eastAsia="zh-TW"/>
        </w:rPr>
        <w:t xml:space="preserve"> to avoid two periods of BWP switch delay and interruption time</w:t>
      </w:r>
      <w:r w:rsidR="002548A3">
        <w:rPr>
          <w:rFonts w:eastAsiaTheme="minorEastAsia" w:cs="Arial"/>
          <w:sz w:val="22"/>
          <w:lang w:eastAsia="zh-TW"/>
        </w:rPr>
        <w:t>.</w:t>
      </w:r>
    </w:p>
    <w:p w14:paraId="4C4BAC94" w14:textId="12D9AD5E" w:rsidR="002548A3" w:rsidRDefault="004604B0" w:rsidP="002548A3">
      <w:pPr>
        <w:pStyle w:val="Doc-text2"/>
        <w:tabs>
          <w:tab w:val="left" w:pos="340"/>
        </w:tabs>
        <w:spacing w:before="120" w:after="120"/>
        <w:ind w:left="0" w:firstLine="0"/>
        <w:jc w:val="both"/>
        <w:rPr>
          <w:rFonts w:cs="Arial"/>
          <w:b/>
          <w:sz w:val="22"/>
          <w:lang w:eastAsia="ja-JP"/>
        </w:rPr>
      </w:pPr>
      <w:r>
        <w:rPr>
          <w:rFonts w:cs="Arial"/>
          <w:b/>
          <w:i/>
          <w:sz w:val="22"/>
          <w:u w:val="single"/>
        </w:rPr>
        <w:t>Proposal 12</w:t>
      </w:r>
      <w:r w:rsidR="002548A3" w:rsidRPr="00416B32">
        <w:rPr>
          <w:rFonts w:cs="Arial"/>
          <w:b/>
          <w:i/>
          <w:sz w:val="22"/>
          <w:u w:val="single"/>
        </w:rPr>
        <w:t>:</w:t>
      </w:r>
      <w:r w:rsidR="002548A3" w:rsidRPr="00416B32">
        <w:rPr>
          <w:rFonts w:cs="Arial"/>
          <w:b/>
          <w:sz w:val="22"/>
        </w:rPr>
        <w:t xml:space="preserve"> </w:t>
      </w:r>
      <w:r w:rsidR="002548A3">
        <w:rPr>
          <w:rFonts w:cs="Arial"/>
          <w:b/>
          <w:sz w:val="22"/>
          <w:lang w:eastAsia="ja-JP"/>
        </w:rPr>
        <w:t xml:space="preserve">For </w:t>
      </w:r>
      <w:r w:rsidR="002548A3" w:rsidRPr="002548A3">
        <w:rPr>
          <w:rFonts w:cs="Arial" w:hint="eastAsia"/>
          <w:b/>
          <w:sz w:val="22"/>
          <w:lang w:eastAsia="ja-JP"/>
        </w:rPr>
        <w:t xml:space="preserve">Case 2 </w:t>
      </w:r>
      <w:r w:rsidR="002548A3">
        <w:rPr>
          <w:rFonts w:cs="Arial"/>
          <w:b/>
          <w:sz w:val="22"/>
          <w:lang w:eastAsia="ja-JP"/>
        </w:rPr>
        <w:t xml:space="preserve">non-scheduling DCI, add two additional bits for </w:t>
      </w:r>
      <w:r w:rsidR="002548A3" w:rsidRPr="002548A3">
        <w:rPr>
          <w:rFonts w:cs="Arial"/>
          <w:b/>
          <w:sz w:val="22"/>
          <w:lang w:eastAsia="ja-JP"/>
        </w:rPr>
        <w:t>PCell BWP switching</w:t>
      </w:r>
      <w:r w:rsidR="007B5FC6">
        <w:rPr>
          <w:rFonts w:cs="Arial"/>
          <w:b/>
          <w:sz w:val="22"/>
          <w:lang w:eastAsia="ja-JP"/>
        </w:rPr>
        <w:t xml:space="preserve"> to avoid </w:t>
      </w:r>
      <w:r w:rsidR="007B5FC6" w:rsidRPr="007B5FC6">
        <w:rPr>
          <w:rFonts w:cs="Arial"/>
          <w:b/>
          <w:sz w:val="22"/>
          <w:lang w:eastAsia="ja-JP"/>
        </w:rPr>
        <w:t>two periods of BWP switch delay and interruption time.</w:t>
      </w:r>
    </w:p>
    <w:p w14:paraId="1EDACD97" w14:textId="77777777" w:rsidR="00F873F6" w:rsidRPr="00416B32" w:rsidRDefault="00F873F6" w:rsidP="002548A3">
      <w:pPr>
        <w:pStyle w:val="Doc-text2"/>
        <w:tabs>
          <w:tab w:val="left" w:pos="340"/>
        </w:tabs>
        <w:spacing w:before="120" w:after="120"/>
        <w:ind w:left="0" w:firstLine="0"/>
        <w:jc w:val="both"/>
        <w:rPr>
          <w:rFonts w:cs="Arial"/>
          <w:b/>
          <w:sz w:val="22"/>
          <w:lang w:eastAsia="ja-JP"/>
        </w:rPr>
      </w:pPr>
    </w:p>
    <w:p w14:paraId="24C34686" w14:textId="2EBE2191" w:rsidR="00762F13" w:rsidRDefault="004F79D0" w:rsidP="002548A3">
      <w:pPr>
        <w:pStyle w:val="Doc-text2"/>
        <w:tabs>
          <w:tab w:val="left" w:pos="340"/>
        </w:tabs>
        <w:spacing w:before="120" w:after="120"/>
        <w:ind w:left="0" w:firstLine="0"/>
        <w:jc w:val="both"/>
        <w:rPr>
          <w:rFonts w:ascii="Calibri" w:hAnsi="Calibri"/>
          <w:sz w:val="22"/>
          <w:lang w:eastAsia="zh-TW"/>
        </w:rPr>
      </w:pPr>
      <w:r w:rsidRPr="009A2754">
        <w:rPr>
          <w:rFonts w:eastAsiaTheme="minorEastAsia" w:cs="Arial"/>
          <w:sz w:val="22"/>
          <w:lang w:eastAsia="zh-TW"/>
        </w:rPr>
        <w:lastRenderedPageBreak/>
        <w:t xml:space="preserve">Under current working assumption, both Case 1 and Case 2 </w:t>
      </w:r>
      <w:r w:rsidRPr="009A2754">
        <w:rPr>
          <w:rFonts w:eastAsiaTheme="minorEastAsia" w:cs="Arial" w:hint="eastAsia"/>
          <w:sz w:val="22"/>
          <w:lang w:eastAsia="zh-TW"/>
        </w:rPr>
        <w:t>SCell</w:t>
      </w:r>
      <w:r w:rsidR="009B6606" w:rsidRPr="009A2754">
        <w:rPr>
          <w:rFonts w:eastAsiaTheme="minorEastAsia" w:cs="Arial"/>
          <w:sz w:val="22"/>
          <w:lang w:eastAsia="zh-TW"/>
        </w:rPr>
        <w:t xml:space="preserve"> (s)</w:t>
      </w:r>
      <w:r w:rsidRPr="009A2754">
        <w:rPr>
          <w:rFonts w:eastAsiaTheme="minorEastAsia" w:cs="Arial" w:hint="eastAsia"/>
          <w:sz w:val="22"/>
          <w:lang w:eastAsia="zh-TW"/>
        </w:rPr>
        <w:t xml:space="preserve"> dormancy </w:t>
      </w:r>
      <w:r w:rsidRPr="009A2754">
        <w:rPr>
          <w:rFonts w:eastAsiaTheme="minorEastAsia" w:cs="Arial"/>
          <w:sz w:val="22"/>
          <w:lang w:eastAsia="zh-TW"/>
        </w:rPr>
        <w:t xml:space="preserve">indication would be supported. </w:t>
      </w:r>
      <w:r w:rsidR="009B6606" w:rsidRPr="009A2754">
        <w:rPr>
          <w:rFonts w:eastAsiaTheme="minorEastAsia" w:cs="Arial"/>
          <w:sz w:val="22"/>
          <w:lang w:eastAsia="zh-TW"/>
        </w:rPr>
        <w:t xml:space="preserve">Case 1 uses </w:t>
      </w:r>
      <w:r w:rsidRPr="009A2754">
        <w:rPr>
          <w:rFonts w:eastAsiaTheme="minorEastAsia" w:cs="Arial"/>
          <w:sz w:val="22"/>
          <w:lang w:eastAsia="zh-TW"/>
        </w:rPr>
        <w:t xml:space="preserve">scheduling DCI with a small amount (&lt;&lt;15) of </w:t>
      </w:r>
      <w:r w:rsidR="009B6606" w:rsidRPr="009A2754">
        <w:rPr>
          <w:rFonts w:eastAsiaTheme="minorEastAsia" w:cs="Arial"/>
          <w:sz w:val="22"/>
          <w:lang w:eastAsia="zh-TW"/>
        </w:rPr>
        <w:t xml:space="preserve">extra </w:t>
      </w:r>
      <w:r w:rsidRPr="009A2754">
        <w:rPr>
          <w:rFonts w:eastAsiaTheme="minorEastAsia" w:cs="Arial"/>
          <w:sz w:val="22"/>
          <w:lang w:eastAsia="zh-TW"/>
        </w:rPr>
        <w:t xml:space="preserve">bits </w:t>
      </w:r>
      <w:r w:rsidR="009B6606" w:rsidRPr="009A2754">
        <w:rPr>
          <w:rFonts w:eastAsiaTheme="minorEastAsia" w:cs="Arial"/>
          <w:sz w:val="22"/>
          <w:lang w:eastAsia="zh-TW"/>
        </w:rPr>
        <w:t xml:space="preserve">to do SCell (s) dormancy indication and requires additional SCells grouping/configuration. </w:t>
      </w:r>
      <w:r w:rsidR="00762F13" w:rsidRPr="009A2754">
        <w:rPr>
          <w:rFonts w:eastAsiaTheme="minorEastAsia" w:cs="Arial"/>
          <w:sz w:val="22"/>
          <w:lang w:eastAsia="zh-TW"/>
        </w:rPr>
        <w:t>The remaining bits of Case 2 can be used to specify the SCell (s) bundle relation (in</w:t>
      </w:r>
      <w:r w:rsidR="008437D1" w:rsidRPr="009A2754">
        <w:rPr>
          <w:rFonts w:eastAsiaTheme="minorEastAsia" w:cs="Arial"/>
          <w:sz w:val="22"/>
          <w:lang w:eastAsia="zh-TW"/>
        </w:rPr>
        <w:t>cluding SCells grouping or SCells configuration state</w:t>
      </w:r>
      <w:r w:rsidR="00762F13" w:rsidRPr="009A2754">
        <w:rPr>
          <w:rFonts w:eastAsiaTheme="minorEastAsia" w:cs="Arial"/>
          <w:sz w:val="22"/>
          <w:lang w:eastAsia="zh-TW"/>
        </w:rPr>
        <w:t>) for Case 1 to maintain same SCell (s) control flexibility as current CA framework.</w:t>
      </w:r>
      <w:r w:rsidR="00762F13">
        <w:rPr>
          <w:rFonts w:ascii="Calibri" w:hAnsi="Calibri"/>
          <w:sz w:val="22"/>
          <w:lang w:eastAsia="zh-TW"/>
        </w:rPr>
        <w:t xml:space="preserve"> </w:t>
      </w:r>
    </w:p>
    <w:p w14:paraId="72753DF2" w14:textId="01776FE3" w:rsidR="00762F13" w:rsidRPr="00762F13" w:rsidRDefault="00842F10" w:rsidP="002548A3">
      <w:pPr>
        <w:pStyle w:val="Doc-text2"/>
        <w:tabs>
          <w:tab w:val="left" w:pos="340"/>
        </w:tabs>
        <w:spacing w:before="120" w:after="120"/>
        <w:ind w:left="0" w:firstLine="0"/>
        <w:jc w:val="both"/>
        <w:rPr>
          <w:rFonts w:cs="Arial"/>
          <w:b/>
          <w:sz w:val="22"/>
          <w:lang w:eastAsia="ja-JP"/>
        </w:rPr>
      </w:pPr>
      <w:r>
        <w:rPr>
          <w:rFonts w:cs="Arial"/>
          <w:b/>
          <w:i/>
          <w:sz w:val="22"/>
          <w:u w:val="single"/>
        </w:rPr>
        <w:t xml:space="preserve">Proposal </w:t>
      </w:r>
      <w:r w:rsidR="00C25FFA">
        <w:rPr>
          <w:rFonts w:cs="Arial"/>
          <w:b/>
          <w:i/>
          <w:sz w:val="22"/>
          <w:u w:val="single"/>
        </w:rPr>
        <w:t>1</w:t>
      </w:r>
      <w:r w:rsidR="004604B0">
        <w:rPr>
          <w:rFonts w:cs="Arial"/>
          <w:b/>
          <w:i/>
          <w:sz w:val="22"/>
          <w:u w:val="single"/>
        </w:rPr>
        <w:t>3</w:t>
      </w:r>
      <w:r w:rsidR="00762F13" w:rsidRPr="00416B32">
        <w:rPr>
          <w:rFonts w:cs="Arial"/>
          <w:b/>
          <w:i/>
          <w:sz w:val="22"/>
          <w:u w:val="single"/>
        </w:rPr>
        <w:t>:</w:t>
      </w:r>
      <w:r w:rsidR="00762F13" w:rsidRPr="00416B32">
        <w:rPr>
          <w:rFonts w:cs="Arial"/>
          <w:b/>
          <w:sz w:val="22"/>
        </w:rPr>
        <w:t xml:space="preserve"> </w:t>
      </w:r>
      <w:r w:rsidR="008437D1" w:rsidRPr="008437D1">
        <w:rPr>
          <w:rFonts w:cs="Arial"/>
          <w:b/>
          <w:sz w:val="22"/>
          <w:lang w:eastAsia="ja-JP"/>
        </w:rPr>
        <w:t>The remaining bits of Case 2 can be used to specify the SCell (s) bundle relation (including SCells grouping or SCells configuration state) for Case 1 to maintain same SCell (s) control flexibility as current CA framework.</w:t>
      </w:r>
    </w:p>
    <w:p w14:paraId="44F32BDA" w14:textId="77777777" w:rsidR="009B6606" w:rsidRDefault="009B6606" w:rsidP="002548A3">
      <w:pPr>
        <w:pStyle w:val="Doc-text2"/>
        <w:tabs>
          <w:tab w:val="left" w:pos="340"/>
        </w:tabs>
        <w:spacing w:before="120" w:after="120"/>
        <w:ind w:left="0" w:firstLine="0"/>
        <w:jc w:val="both"/>
        <w:rPr>
          <w:rFonts w:ascii="Calibri" w:hAnsi="Calibri"/>
          <w:sz w:val="22"/>
          <w:lang w:eastAsia="zh-TW"/>
        </w:rPr>
      </w:pPr>
    </w:p>
    <w:p w14:paraId="51ACBC0E" w14:textId="179BEEA3" w:rsidR="008437D1" w:rsidRPr="0010778B" w:rsidRDefault="008437D1" w:rsidP="002548A3">
      <w:pPr>
        <w:pStyle w:val="Doc-text2"/>
        <w:tabs>
          <w:tab w:val="left" w:pos="340"/>
        </w:tabs>
        <w:spacing w:before="120" w:after="120"/>
        <w:ind w:left="0" w:firstLine="0"/>
        <w:jc w:val="both"/>
        <w:rPr>
          <w:rFonts w:eastAsiaTheme="minorEastAsia" w:cs="Arial"/>
          <w:sz w:val="22"/>
          <w:lang w:eastAsia="zh-TW"/>
        </w:rPr>
      </w:pPr>
      <w:r w:rsidRPr="0010778B">
        <w:rPr>
          <w:rFonts w:eastAsiaTheme="minorEastAsia" w:cs="Arial"/>
          <w:sz w:val="22"/>
          <w:lang w:eastAsia="zh-TW"/>
        </w:rPr>
        <w:t xml:space="preserve">Since Case 2 is a non-scheduling DCI, </w:t>
      </w:r>
      <w:r w:rsidR="00353ABC" w:rsidRPr="0010778B">
        <w:rPr>
          <w:rFonts w:eastAsiaTheme="minorEastAsia" w:cs="Arial"/>
          <w:sz w:val="22"/>
          <w:lang w:eastAsia="zh-TW"/>
        </w:rPr>
        <w:t xml:space="preserve">UE is not required to return HARQ ACK/NACK for it. However, since this DCI </w:t>
      </w:r>
      <w:r w:rsidR="00442C2A" w:rsidRPr="0010778B">
        <w:rPr>
          <w:rFonts w:eastAsiaTheme="minorEastAsia" w:cs="Arial"/>
          <w:sz w:val="22"/>
          <w:lang w:eastAsia="zh-TW"/>
        </w:rPr>
        <w:t>carrie</w:t>
      </w:r>
      <w:r w:rsidR="00353ABC" w:rsidRPr="0010778B">
        <w:rPr>
          <w:rFonts w:eastAsiaTheme="minorEastAsia" w:cs="Arial"/>
          <w:sz w:val="22"/>
          <w:lang w:eastAsia="zh-TW"/>
        </w:rPr>
        <w:t xml:space="preserve">s important information about SCells control, </w:t>
      </w:r>
      <w:r w:rsidR="00442C2A" w:rsidRPr="0010778B">
        <w:rPr>
          <w:rFonts w:eastAsiaTheme="minorEastAsia" w:cs="Arial"/>
          <w:sz w:val="22"/>
          <w:lang w:eastAsia="zh-TW"/>
        </w:rPr>
        <w:t>it would be better to let UE return the HARQ ACK/NACK just like the DL scheduling DCI following the current K0/K1 settings.</w:t>
      </w:r>
    </w:p>
    <w:p w14:paraId="5E07805A" w14:textId="1128F8EA" w:rsidR="00442C2A" w:rsidRPr="00762F13" w:rsidRDefault="004604B0" w:rsidP="00442C2A">
      <w:pPr>
        <w:pStyle w:val="Doc-text2"/>
        <w:tabs>
          <w:tab w:val="left" w:pos="340"/>
        </w:tabs>
        <w:spacing w:before="120" w:after="120"/>
        <w:ind w:left="0" w:firstLine="0"/>
        <w:jc w:val="both"/>
        <w:rPr>
          <w:rFonts w:cs="Arial"/>
          <w:b/>
          <w:sz w:val="22"/>
          <w:lang w:eastAsia="ja-JP"/>
        </w:rPr>
      </w:pPr>
      <w:r>
        <w:rPr>
          <w:rFonts w:cs="Arial"/>
          <w:b/>
          <w:i/>
          <w:sz w:val="22"/>
          <w:u w:val="single"/>
        </w:rPr>
        <w:t>Proposal 14</w:t>
      </w:r>
      <w:r w:rsidR="00442C2A" w:rsidRPr="00416B32">
        <w:rPr>
          <w:rFonts w:cs="Arial"/>
          <w:b/>
          <w:i/>
          <w:sz w:val="22"/>
          <w:u w:val="single"/>
        </w:rPr>
        <w:t>:</w:t>
      </w:r>
      <w:r w:rsidR="00442C2A" w:rsidRPr="00416B32">
        <w:rPr>
          <w:rFonts w:cs="Arial"/>
          <w:b/>
          <w:sz w:val="22"/>
        </w:rPr>
        <w:t xml:space="preserve"> </w:t>
      </w:r>
      <w:r w:rsidR="00442C2A">
        <w:rPr>
          <w:rFonts w:cs="Arial"/>
          <w:b/>
          <w:sz w:val="22"/>
          <w:lang w:eastAsia="ja-JP"/>
        </w:rPr>
        <w:t xml:space="preserve">For the Case 2 non-scheduling DCI indicating SCells dormancy, </w:t>
      </w:r>
      <w:r w:rsidR="00442C2A" w:rsidRPr="00442C2A">
        <w:rPr>
          <w:rFonts w:cs="Arial"/>
          <w:b/>
          <w:sz w:val="22"/>
          <w:lang w:eastAsia="ja-JP"/>
        </w:rPr>
        <w:t>UE return</w:t>
      </w:r>
      <w:r w:rsidR="00442C2A">
        <w:rPr>
          <w:rFonts w:cs="Arial"/>
          <w:b/>
          <w:sz w:val="22"/>
          <w:lang w:eastAsia="ja-JP"/>
        </w:rPr>
        <w:t>s</w:t>
      </w:r>
      <w:r w:rsidR="00442C2A" w:rsidRPr="00442C2A">
        <w:rPr>
          <w:rFonts w:cs="Arial"/>
          <w:b/>
          <w:sz w:val="22"/>
          <w:lang w:eastAsia="ja-JP"/>
        </w:rPr>
        <w:t xml:space="preserve"> the HAR</w:t>
      </w:r>
      <w:r w:rsidR="00442C2A">
        <w:rPr>
          <w:rFonts w:cs="Arial"/>
          <w:b/>
          <w:sz w:val="22"/>
          <w:lang w:eastAsia="ja-JP"/>
        </w:rPr>
        <w:t>Q ACK/NACK just like the DL</w:t>
      </w:r>
      <w:r w:rsidR="00442C2A" w:rsidRPr="00442C2A">
        <w:rPr>
          <w:rFonts w:cs="Arial"/>
          <w:b/>
          <w:sz w:val="22"/>
          <w:lang w:eastAsia="ja-JP"/>
        </w:rPr>
        <w:t xml:space="preserve"> scheduling DCI following the current K0/K1 settings.</w:t>
      </w:r>
    </w:p>
    <w:p w14:paraId="47129F0A" w14:textId="09B0C879" w:rsidR="004F79D0" w:rsidRDefault="004F79D0" w:rsidP="002548A3">
      <w:pPr>
        <w:pStyle w:val="Doc-text2"/>
        <w:tabs>
          <w:tab w:val="left" w:pos="340"/>
        </w:tabs>
        <w:spacing w:before="120" w:after="120"/>
        <w:ind w:left="0" w:firstLine="0"/>
        <w:jc w:val="both"/>
        <w:rPr>
          <w:rFonts w:ascii="Calibri" w:hAnsi="Calibri"/>
          <w:sz w:val="22"/>
          <w:lang w:eastAsia="zh-TW"/>
        </w:rPr>
      </w:pPr>
    </w:p>
    <w:p w14:paraId="7E78E75B" w14:textId="42F0B16D" w:rsidR="00442C2A" w:rsidRDefault="00442C2A" w:rsidP="00442C2A">
      <w:pPr>
        <w:pStyle w:val="Doc-text2"/>
        <w:tabs>
          <w:tab w:val="left" w:pos="340"/>
        </w:tabs>
        <w:spacing w:before="120" w:after="120"/>
        <w:ind w:left="0" w:firstLine="0"/>
        <w:jc w:val="both"/>
        <w:rPr>
          <w:rFonts w:eastAsiaTheme="minorEastAsia" w:cs="Arial"/>
          <w:sz w:val="22"/>
          <w:lang w:eastAsia="zh-CN"/>
        </w:rPr>
      </w:pPr>
      <w:r>
        <w:rPr>
          <w:rFonts w:cs="Arial"/>
          <w:b/>
          <w:sz w:val="28"/>
          <w:szCs w:val="28"/>
          <w:lang w:val="en-GB"/>
        </w:rPr>
        <w:t>2.5.3 Case 1 design details</w:t>
      </w:r>
    </w:p>
    <w:p w14:paraId="0756DFD3" w14:textId="6D03969B" w:rsidR="00887DB4" w:rsidRPr="005C494A" w:rsidRDefault="00442C2A" w:rsidP="00887DB4">
      <w:pPr>
        <w:pStyle w:val="Doc-text2"/>
        <w:tabs>
          <w:tab w:val="left" w:pos="340"/>
        </w:tabs>
        <w:spacing w:before="120" w:after="120"/>
        <w:ind w:left="0" w:firstLine="0"/>
        <w:jc w:val="both"/>
        <w:rPr>
          <w:rFonts w:eastAsiaTheme="minorEastAsia" w:cs="Arial"/>
          <w:sz w:val="22"/>
          <w:lang w:eastAsia="zh-CN"/>
        </w:rPr>
      </w:pPr>
      <w:r>
        <w:rPr>
          <w:rFonts w:eastAsiaTheme="minorEastAsia" w:cs="Arial"/>
          <w:sz w:val="22"/>
          <w:lang w:eastAsia="zh-CN"/>
        </w:rPr>
        <w:t>For Case 1</w:t>
      </w:r>
      <w:r w:rsidR="00582B0C">
        <w:rPr>
          <w:rFonts w:eastAsiaTheme="minorEastAsia" w:cs="Arial"/>
          <w:sz w:val="22"/>
          <w:lang w:eastAsia="zh-CN"/>
        </w:rPr>
        <w:t xml:space="preserve">, it is a </w:t>
      </w:r>
      <w:r>
        <w:rPr>
          <w:rFonts w:eastAsiaTheme="minorEastAsia" w:cs="Arial"/>
          <w:sz w:val="22"/>
          <w:lang w:eastAsia="zh-CN"/>
        </w:rPr>
        <w:t xml:space="preserve">scheduling DCI </w:t>
      </w:r>
      <w:r w:rsidR="00582B0C">
        <w:rPr>
          <w:rFonts w:eastAsiaTheme="minorEastAsia" w:cs="Arial"/>
          <w:sz w:val="22"/>
          <w:lang w:eastAsia="zh-CN"/>
        </w:rPr>
        <w:t xml:space="preserve">with X2 extra bits to do </w:t>
      </w:r>
      <w:r>
        <w:rPr>
          <w:rFonts w:eastAsiaTheme="minorEastAsia" w:cs="Arial"/>
          <w:sz w:val="22"/>
          <w:lang w:eastAsia="zh-CN"/>
        </w:rPr>
        <w:t xml:space="preserve">SCells dormancy indication. </w:t>
      </w:r>
      <w:r w:rsidR="00582B0C">
        <w:rPr>
          <w:rFonts w:eastAsiaTheme="minorEastAsia" w:cs="Arial"/>
          <w:sz w:val="22"/>
          <w:lang w:eastAsia="zh-CN"/>
        </w:rPr>
        <w:t xml:space="preserve">The indication can be one bit per group of SCells like outside active time, or </w:t>
      </w:r>
      <w:r w:rsidR="00582B0C" w:rsidRPr="00582B0C">
        <w:rPr>
          <w:rFonts w:eastAsiaTheme="minorEastAsia" w:cs="Arial"/>
          <w:sz w:val="22"/>
          <w:lang w:eastAsia="zh-CN"/>
        </w:rPr>
        <w:t xml:space="preserve">one </w:t>
      </w:r>
      <w:r w:rsidR="00582B0C">
        <w:rPr>
          <w:rFonts w:eastAsiaTheme="minorEastAsia" w:cs="Arial"/>
          <w:sz w:val="22"/>
          <w:lang w:eastAsia="zh-CN"/>
        </w:rPr>
        <w:t xml:space="preserve">bit-string </w:t>
      </w:r>
      <w:r w:rsidR="00582B0C" w:rsidRPr="00582B0C">
        <w:rPr>
          <w:rFonts w:eastAsiaTheme="minorEastAsia" w:cs="Arial"/>
          <w:sz w:val="22"/>
          <w:lang w:eastAsia="zh-CN"/>
        </w:rPr>
        <w:t xml:space="preserve">state </w:t>
      </w:r>
      <w:r w:rsidR="00582B0C">
        <w:rPr>
          <w:rFonts w:eastAsiaTheme="minorEastAsia" w:cs="Arial"/>
          <w:sz w:val="22"/>
          <w:lang w:eastAsia="zh-CN"/>
        </w:rPr>
        <w:t>per pre-determined</w:t>
      </w:r>
      <w:r w:rsidR="00582B0C" w:rsidRPr="00582B0C">
        <w:rPr>
          <w:rFonts w:eastAsiaTheme="minorEastAsia" w:cs="Arial"/>
          <w:sz w:val="22"/>
          <w:lang w:eastAsia="zh-CN"/>
        </w:rPr>
        <w:t xml:space="preserve"> dorma</w:t>
      </w:r>
      <w:r w:rsidR="00661469">
        <w:rPr>
          <w:rFonts w:eastAsiaTheme="minorEastAsia" w:cs="Arial"/>
          <w:sz w:val="22"/>
          <w:lang w:eastAsia="zh-CN"/>
        </w:rPr>
        <w:t>ncy/non-dormancy status</w:t>
      </w:r>
      <w:r w:rsidR="00582B0C" w:rsidRPr="00582B0C">
        <w:rPr>
          <w:rFonts w:eastAsiaTheme="minorEastAsia" w:cs="Arial"/>
          <w:sz w:val="22"/>
          <w:lang w:eastAsia="zh-CN"/>
        </w:rPr>
        <w:t xml:space="preserve"> of configured </w:t>
      </w:r>
      <w:r w:rsidR="00C25FFA">
        <w:rPr>
          <w:rFonts w:eastAsiaTheme="minorEastAsia" w:cs="Arial"/>
          <w:sz w:val="22"/>
          <w:lang w:eastAsia="zh-CN"/>
        </w:rPr>
        <w:t>S</w:t>
      </w:r>
      <w:r w:rsidR="00F873F6">
        <w:rPr>
          <w:rFonts w:eastAsiaTheme="minorEastAsia" w:cs="Arial"/>
          <w:sz w:val="22"/>
          <w:lang w:eastAsia="zh-CN"/>
        </w:rPr>
        <w:t>C</w:t>
      </w:r>
      <w:r w:rsidR="00582B0C" w:rsidRPr="00582B0C">
        <w:rPr>
          <w:rFonts w:eastAsiaTheme="minorEastAsia" w:cs="Arial"/>
          <w:sz w:val="22"/>
          <w:lang w:eastAsia="zh-CN"/>
        </w:rPr>
        <w:t>ells</w:t>
      </w:r>
      <w:r w:rsidR="00661469">
        <w:rPr>
          <w:rFonts w:eastAsiaTheme="minorEastAsia" w:cs="Arial"/>
          <w:sz w:val="22"/>
          <w:lang w:eastAsia="zh-CN"/>
        </w:rPr>
        <w:t xml:space="preserve">. </w:t>
      </w:r>
      <w:r w:rsidR="00887DB4">
        <w:rPr>
          <w:rFonts w:eastAsiaTheme="minorEastAsia" w:cs="Arial"/>
          <w:sz w:val="22"/>
          <w:lang w:eastAsia="zh-CN"/>
        </w:rPr>
        <w:t xml:space="preserve">It should be noted that per RAN1 98-bis agreement, </w:t>
      </w:r>
      <w:r w:rsidR="00887DB4" w:rsidRPr="00C25FFA">
        <w:rPr>
          <w:rFonts w:eastAsiaTheme="minorEastAsia" w:cs="Arial"/>
          <w:sz w:val="22"/>
          <w:u w:val="single"/>
          <w:lang w:eastAsia="zh-CN"/>
        </w:rPr>
        <w:t>the Scell group configuration within active time is independent from the Scell group configuration for dormancy indication ouside active time</w:t>
      </w:r>
      <w:r w:rsidR="00887DB4">
        <w:rPr>
          <w:rFonts w:eastAsiaTheme="minorEastAsia" w:cs="Arial"/>
          <w:sz w:val="22"/>
          <w:lang w:eastAsia="zh-CN"/>
        </w:rPr>
        <w:t>. If group-based framework is adopted, we can add</w:t>
      </w:r>
      <w:r w:rsidR="009A2754">
        <w:rPr>
          <w:rFonts w:eastAsiaTheme="minorEastAsia" w:cs="Arial"/>
          <w:sz w:val="22"/>
          <w:lang w:eastAsia="zh-CN"/>
        </w:rPr>
        <w:t xml:space="preserve"> </w:t>
      </w:r>
      <w:r w:rsidR="00887DB4">
        <w:rPr>
          <w:rFonts w:eastAsiaTheme="minorEastAsia" w:cs="Arial"/>
          <w:sz w:val="22"/>
          <w:lang w:eastAsia="zh-CN"/>
        </w:rPr>
        <w:t xml:space="preserve">a </w:t>
      </w:r>
      <w:r w:rsidR="009A2754">
        <w:rPr>
          <w:rFonts w:eastAsiaTheme="minorEastAsia" w:cs="Arial"/>
          <w:sz w:val="22"/>
          <w:lang w:eastAsia="zh-CN"/>
        </w:rPr>
        <w:t xml:space="preserve">new </w:t>
      </w:r>
      <w:r w:rsidR="00887DB4">
        <w:rPr>
          <w:rFonts w:eastAsiaTheme="minorEastAsia" w:cs="Arial"/>
          <w:sz w:val="22"/>
          <w:lang w:eastAsia="zh-CN"/>
        </w:rPr>
        <w:t xml:space="preserve">RRC parameter </w:t>
      </w:r>
      <w:r w:rsidR="00887DB4" w:rsidRPr="005C494A">
        <w:rPr>
          <w:rFonts w:eastAsiaTheme="minorEastAsia" w:cs="Arial"/>
          <w:i/>
          <w:sz w:val="22"/>
          <w:lang w:eastAsia="zh-CN"/>
        </w:rPr>
        <w:t>S</w:t>
      </w:r>
      <w:r w:rsidR="009A2754">
        <w:rPr>
          <w:rFonts w:eastAsiaTheme="minorEastAsia" w:cs="Arial"/>
          <w:i/>
          <w:sz w:val="22"/>
          <w:lang w:eastAsia="zh-CN"/>
        </w:rPr>
        <w:t>cell-groups-for-dormancy-inside</w:t>
      </w:r>
      <w:r w:rsidR="00887DB4" w:rsidRPr="005C494A">
        <w:rPr>
          <w:rFonts w:eastAsiaTheme="minorEastAsia" w:cs="Arial"/>
          <w:i/>
          <w:sz w:val="22"/>
          <w:lang w:eastAsia="zh-CN"/>
        </w:rPr>
        <w:t>-active-time</w:t>
      </w:r>
      <w:r w:rsidR="009A2754">
        <w:rPr>
          <w:rFonts w:eastAsiaTheme="minorEastAsia" w:cs="Arial"/>
          <w:sz w:val="22"/>
          <w:lang w:eastAsia="zh-CN"/>
        </w:rPr>
        <w:t xml:space="preserve"> </w:t>
      </w:r>
      <w:r w:rsidR="00887DB4">
        <w:rPr>
          <w:rFonts w:eastAsiaTheme="minorEastAsia" w:cs="Arial"/>
          <w:sz w:val="22"/>
          <w:lang w:eastAsia="zh-CN"/>
        </w:rPr>
        <w:t xml:space="preserve">to configure the number of SCell groups </w:t>
      </w:r>
      <w:r w:rsidR="009A2754">
        <w:rPr>
          <w:rFonts w:eastAsiaTheme="minorEastAsia" w:cs="Arial"/>
          <w:sz w:val="22"/>
          <w:lang w:eastAsia="zh-CN"/>
        </w:rPr>
        <w:t>for dormancy indication inside</w:t>
      </w:r>
      <w:r w:rsidR="00887DB4">
        <w:rPr>
          <w:rFonts w:eastAsiaTheme="minorEastAsia" w:cs="Arial"/>
          <w:sz w:val="22"/>
          <w:lang w:eastAsia="zh-CN"/>
        </w:rPr>
        <w:t xml:space="preserve"> active time. To specify which SCell belongs to which SCell group, a </w:t>
      </w:r>
      <w:r w:rsidR="00887DB4">
        <w:rPr>
          <w:rFonts w:eastAsiaTheme="minorEastAsia" w:cs="Arial"/>
          <w:i/>
          <w:sz w:val="22"/>
          <w:lang w:eastAsia="zh-CN"/>
        </w:rPr>
        <w:t>Scell-group-id</w:t>
      </w:r>
      <w:r w:rsidR="009A2754">
        <w:rPr>
          <w:rFonts w:eastAsiaTheme="minorEastAsia" w:cs="Arial"/>
          <w:i/>
          <w:sz w:val="22"/>
          <w:lang w:eastAsia="zh-CN"/>
        </w:rPr>
        <w:t>-for-dormancy-inside</w:t>
      </w:r>
      <w:r w:rsidR="00887DB4" w:rsidRPr="005C494A">
        <w:rPr>
          <w:rFonts w:eastAsiaTheme="minorEastAsia" w:cs="Arial"/>
          <w:i/>
          <w:sz w:val="22"/>
          <w:lang w:eastAsia="zh-CN"/>
        </w:rPr>
        <w:t>-active-time</w:t>
      </w:r>
      <w:r w:rsidR="00887DB4">
        <w:rPr>
          <w:rFonts w:eastAsiaTheme="minorEastAsia" w:cs="Arial"/>
          <w:sz w:val="22"/>
          <w:lang w:eastAsia="zh-CN"/>
        </w:rPr>
        <w:t xml:space="preserve"> IE</w:t>
      </w:r>
      <w:r w:rsidR="009A2754">
        <w:rPr>
          <w:rFonts w:eastAsiaTheme="minorEastAsia" w:cs="Arial"/>
          <w:sz w:val="22"/>
          <w:lang w:eastAsia="zh-CN"/>
        </w:rPr>
        <w:t xml:space="preserve"> can be added</w:t>
      </w:r>
      <w:r w:rsidR="00887DB4">
        <w:rPr>
          <w:rFonts w:eastAsiaTheme="minorEastAsia" w:cs="Arial"/>
          <w:sz w:val="22"/>
          <w:lang w:eastAsia="zh-CN"/>
        </w:rPr>
        <w:t xml:space="preserve"> to each SCell during RRC configuration. Then, the SCell grouping is not affected by the SCells addition/release of other SCells. </w:t>
      </w:r>
    </w:p>
    <w:p w14:paraId="34DBB9B2" w14:textId="2D07B597" w:rsidR="009A2754" w:rsidRDefault="004604B0" w:rsidP="00887DB4">
      <w:pPr>
        <w:jc w:val="both"/>
        <w:rPr>
          <w:rFonts w:ascii="Arial" w:hAnsi="Arial" w:cs="Arial"/>
          <w:b/>
        </w:rPr>
      </w:pPr>
      <w:r>
        <w:rPr>
          <w:rFonts w:ascii="Arial" w:hAnsi="Arial" w:cs="Arial"/>
          <w:b/>
          <w:i/>
          <w:u w:val="single"/>
        </w:rPr>
        <w:t>Proposal 15</w:t>
      </w:r>
      <w:r w:rsidR="00887DB4" w:rsidRPr="00F55FFC">
        <w:rPr>
          <w:rFonts w:ascii="Arial" w:hAnsi="Arial" w:cs="Arial"/>
          <w:b/>
          <w:i/>
          <w:u w:val="single"/>
        </w:rPr>
        <w:t>:</w:t>
      </w:r>
      <w:r w:rsidR="00887DB4" w:rsidRPr="00F116B8">
        <w:rPr>
          <w:rFonts w:ascii="Arial" w:hAnsi="Arial" w:cs="Arial"/>
          <w:b/>
        </w:rPr>
        <w:t xml:space="preserve"> </w:t>
      </w:r>
      <w:r w:rsidR="009A2754">
        <w:rPr>
          <w:rFonts w:ascii="Arial" w:hAnsi="Arial" w:cs="Arial"/>
          <w:b/>
        </w:rPr>
        <w:t xml:space="preserve">For group-based SCell (s) dormancy indication inside active time, </w:t>
      </w:r>
      <w:r w:rsidR="009A2754" w:rsidRPr="009A2754">
        <w:rPr>
          <w:rFonts w:ascii="Arial" w:hAnsi="Arial" w:cs="Arial"/>
          <w:b/>
        </w:rPr>
        <w:t xml:space="preserve">add a new RRC parameter </w:t>
      </w:r>
      <w:r w:rsidR="009A2754" w:rsidRPr="009A2754">
        <w:rPr>
          <w:rFonts w:ascii="Arial" w:hAnsi="Arial" w:cs="Arial"/>
          <w:b/>
          <w:i/>
        </w:rPr>
        <w:t>Scell-groups-for-dormancy-inside-active-time</w:t>
      </w:r>
      <w:r w:rsidR="009A2754" w:rsidRPr="009A2754">
        <w:rPr>
          <w:rFonts w:ascii="Arial" w:hAnsi="Arial" w:cs="Arial"/>
          <w:b/>
        </w:rPr>
        <w:t xml:space="preserve"> to configure the number of SCell groups used for dormancy indication inside active time. To specify which SCell belongs to which SCell group, </w:t>
      </w:r>
      <w:r w:rsidR="009A2754">
        <w:rPr>
          <w:rFonts w:ascii="Arial" w:hAnsi="Arial" w:cs="Arial"/>
          <w:b/>
        </w:rPr>
        <w:t xml:space="preserve">add </w:t>
      </w:r>
      <w:r w:rsidR="009A2754" w:rsidRPr="009A2754">
        <w:rPr>
          <w:rFonts w:ascii="Arial" w:hAnsi="Arial" w:cs="Arial"/>
          <w:b/>
        </w:rPr>
        <w:t xml:space="preserve">a </w:t>
      </w:r>
      <w:r w:rsidR="009A2754" w:rsidRPr="009A2754">
        <w:rPr>
          <w:rFonts w:ascii="Arial" w:hAnsi="Arial" w:cs="Arial"/>
          <w:b/>
          <w:i/>
        </w:rPr>
        <w:t>Scell-group-id-for-dormancy-inside-active-time</w:t>
      </w:r>
      <w:r w:rsidR="009A2754" w:rsidRPr="009A2754">
        <w:rPr>
          <w:rFonts w:ascii="Arial" w:hAnsi="Arial" w:cs="Arial"/>
          <w:b/>
        </w:rPr>
        <w:t xml:space="preserve"> IE to each SCell during RRC configuration. </w:t>
      </w:r>
      <w:r w:rsidR="009A2754">
        <w:rPr>
          <w:rFonts w:ascii="Arial" w:hAnsi="Arial" w:cs="Arial"/>
          <w:b/>
        </w:rPr>
        <w:t>T</w:t>
      </w:r>
      <w:r w:rsidR="009A2754" w:rsidRPr="009A2754">
        <w:rPr>
          <w:rFonts w:ascii="Arial" w:hAnsi="Arial" w:cs="Arial"/>
          <w:b/>
        </w:rPr>
        <w:t xml:space="preserve">he SCell grouping is </w:t>
      </w:r>
      <w:r w:rsidR="009A2754">
        <w:rPr>
          <w:rFonts w:ascii="Arial" w:hAnsi="Arial" w:cs="Arial"/>
          <w:b/>
        </w:rPr>
        <w:t xml:space="preserve">then </w:t>
      </w:r>
      <w:r w:rsidR="009A2754" w:rsidRPr="009A2754">
        <w:rPr>
          <w:rFonts w:ascii="Arial" w:hAnsi="Arial" w:cs="Arial"/>
          <w:b/>
        </w:rPr>
        <w:t>not affected by the SCells addition/release of other SCells.</w:t>
      </w:r>
    </w:p>
    <w:p w14:paraId="4F82BCB1" w14:textId="77777777" w:rsidR="00442C2A" w:rsidRDefault="00442C2A" w:rsidP="00442C2A">
      <w:pPr>
        <w:pStyle w:val="Doc-text2"/>
        <w:tabs>
          <w:tab w:val="left" w:pos="340"/>
        </w:tabs>
        <w:spacing w:before="120" w:after="120"/>
        <w:ind w:left="0" w:firstLine="0"/>
        <w:jc w:val="both"/>
        <w:rPr>
          <w:rFonts w:eastAsiaTheme="minorEastAsia" w:cs="Arial"/>
          <w:sz w:val="22"/>
          <w:lang w:eastAsia="zh-TW"/>
        </w:rPr>
      </w:pPr>
    </w:p>
    <w:p w14:paraId="4FAE7507" w14:textId="020E688F" w:rsidR="009A2754" w:rsidRPr="00D07A15" w:rsidRDefault="009A2754" w:rsidP="00D07A15">
      <w:pPr>
        <w:pStyle w:val="Doc-text2"/>
        <w:tabs>
          <w:tab w:val="left" w:pos="340"/>
        </w:tabs>
        <w:spacing w:before="120" w:after="120"/>
        <w:ind w:left="0" w:firstLine="0"/>
        <w:jc w:val="both"/>
        <w:rPr>
          <w:rFonts w:eastAsiaTheme="minorEastAsia" w:cs="Arial"/>
          <w:sz w:val="22"/>
          <w:lang w:eastAsia="zh-CN"/>
        </w:rPr>
      </w:pPr>
      <w:r>
        <w:rPr>
          <w:rFonts w:eastAsiaTheme="minorEastAsia" w:cs="Arial"/>
          <w:sz w:val="22"/>
          <w:lang w:eastAsia="zh-CN"/>
        </w:rPr>
        <w:lastRenderedPageBreak/>
        <w:t xml:space="preserve">If bit-string </w:t>
      </w:r>
      <w:r w:rsidRPr="00582B0C">
        <w:rPr>
          <w:rFonts w:eastAsiaTheme="minorEastAsia" w:cs="Arial"/>
          <w:sz w:val="22"/>
          <w:lang w:eastAsia="zh-CN"/>
        </w:rPr>
        <w:t>state</w:t>
      </w:r>
      <w:r w:rsidRPr="009A2754">
        <w:rPr>
          <w:rFonts w:eastAsiaTheme="minorEastAsia" w:cs="Arial"/>
          <w:sz w:val="22"/>
          <w:lang w:eastAsia="zh-CN"/>
        </w:rPr>
        <w:t xml:space="preserve"> </w:t>
      </w:r>
      <w:r>
        <w:rPr>
          <w:rFonts w:eastAsiaTheme="minorEastAsia" w:cs="Arial"/>
          <w:sz w:val="22"/>
          <w:lang w:eastAsia="zh-CN"/>
        </w:rPr>
        <w:t xml:space="preserve">framework is adopted, </w:t>
      </w:r>
      <w:r w:rsidR="00D07A15">
        <w:rPr>
          <w:rFonts w:eastAsiaTheme="minorEastAsia" w:cs="Arial"/>
          <w:sz w:val="22"/>
          <w:lang w:eastAsia="zh-CN"/>
        </w:rPr>
        <w:t>t</w:t>
      </w:r>
      <w:r w:rsidRPr="00F116B8">
        <w:rPr>
          <w:rFonts w:cs="Arial"/>
        </w:rPr>
        <w:t>he explicit indication for SCell (s) bundling</w:t>
      </w:r>
      <w:r w:rsidR="00D07A15">
        <w:rPr>
          <w:rFonts w:cs="Arial"/>
        </w:rPr>
        <w:t>/state configuration</w:t>
      </w:r>
      <w:r w:rsidRPr="00F116B8">
        <w:rPr>
          <w:rFonts w:cs="Arial"/>
        </w:rPr>
        <w:t xml:space="preserve"> can be based on RRC/MAC-CE/DCI. Since NW uses MAC-CE to do SCell (s) activation, the same MAC-CE (including bit map of SCells) can be used for SCell (s) dormancy behavior bundling with</w:t>
      </w:r>
    </w:p>
    <w:p w14:paraId="72CC62A9" w14:textId="77777777" w:rsidR="009A2754" w:rsidRPr="00F116B8" w:rsidRDefault="009A2754" w:rsidP="009A2754">
      <w:pPr>
        <w:pStyle w:val="af7"/>
        <w:numPr>
          <w:ilvl w:val="0"/>
          <w:numId w:val="27"/>
        </w:numPr>
        <w:rPr>
          <w:rFonts w:ascii="Arial" w:hAnsi="Arial" w:cs="Arial"/>
        </w:rPr>
      </w:pPr>
      <w:r w:rsidRPr="00F116B8">
        <w:rPr>
          <w:rFonts w:ascii="Arial" w:hAnsi="Arial" w:cs="Arial"/>
        </w:rPr>
        <w:t>Using one reserved bit to indicate the SCell (s) bundling feature</w:t>
      </w:r>
    </w:p>
    <w:p w14:paraId="7F9593FD" w14:textId="25F1D46C" w:rsidR="009A2754" w:rsidRPr="00D07A15" w:rsidRDefault="009A2754" w:rsidP="00D07A15">
      <w:pPr>
        <w:pStyle w:val="af7"/>
        <w:numPr>
          <w:ilvl w:val="0"/>
          <w:numId w:val="27"/>
        </w:numPr>
        <w:rPr>
          <w:rFonts w:ascii="Arial" w:hAnsi="Arial" w:cs="Arial"/>
        </w:rPr>
      </w:pPr>
      <w:r w:rsidRPr="00F116B8">
        <w:rPr>
          <w:rFonts w:ascii="Arial" w:hAnsi="Arial" w:cs="Arial"/>
        </w:rPr>
        <w:t>Using another SCell (s) bit map for SCell (s) bundling (Ex. using the reserved bits in MAC-CE Index 33~46)</w:t>
      </w:r>
    </w:p>
    <w:p w14:paraId="285B3FE1" w14:textId="24DB1EBE" w:rsidR="009A2754" w:rsidRPr="00D07A15" w:rsidRDefault="00D07A15" w:rsidP="00D07A15">
      <w:pPr>
        <w:rPr>
          <w:rFonts w:ascii="Arial" w:hAnsi="Arial" w:cs="Arial"/>
        </w:rPr>
      </w:pPr>
      <w:r>
        <w:rPr>
          <w:rFonts w:ascii="Arial" w:hAnsi="Arial" w:cs="Arial"/>
        </w:rPr>
        <w:t xml:space="preserve">For DCI based </w:t>
      </w:r>
      <w:r w:rsidRPr="00F116B8">
        <w:rPr>
          <w:rFonts w:ascii="Arial" w:hAnsi="Arial" w:cs="Arial"/>
        </w:rPr>
        <w:t>SCell (s) bundling</w:t>
      </w:r>
      <w:r>
        <w:rPr>
          <w:rFonts w:ascii="Arial" w:hAnsi="Arial" w:cs="Arial"/>
        </w:rPr>
        <w:t>/state configuration, the remaining bits of Case 2 DCI can be used.</w:t>
      </w:r>
    </w:p>
    <w:p w14:paraId="7B41E7ED" w14:textId="09E388DC" w:rsidR="00D07A15" w:rsidRPr="00D07A15" w:rsidRDefault="00211BCD" w:rsidP="00D07A15">
      <w:pPr>
        <w:pStyle w:val="Doc-text2"/>
        <w:tabs>
          <w:tab w:val="left" w:pos="340"/>
        </w:tabs>
        <w:spacing w:before="120" w:after="120"/>
        <w:ind w:left="0" w:firstLine="0"/>
        <w:jc w:val="both"/>
        <w:rPr>
          <w:rFonts w:eastAsiaTheme="minorEastAsia" w:cs="Arial"/>
          <w:b/>
          <w:sz w:val="22"/>
          <w:lang w:eastAsia="zh-CN"/>
        </w:rPr>
      </w:pPr>
      <w:r>
        <w:rPr>
          <w:rFonts w:cs="Arial"/>
          <w:b/>
          <w:i/>
          <w:sz w:val="22"/>
          <w:u w:val="single"/>
        </w:rPr>
        <w:t>Proposal 16</w:t>
      </w:r>
      <w:r w:rsidR="00D07A15" w:rsidRPr="00D07A15">
        <w:rPr>
          <w:rFonts w:cs="Arial"/>
          <w:b/>
          <w:i/>
          <w:sz w:val="22"/>
          <w:u w:val="single"/>
        </w:rPr>
        <w:t>:</w:t>
      </w:r>
      <w:r w:rsidR="00D07A15" w:rsidRPr="00D07A15">
        <w:rPr>
          <w:rFonts w:cs="Arial"/>
          <w:b/>
          <w:sz w:val="22"/>
        </w:rPr>
        <w:t xml:space="preserve"> For bit-string state-based SCell (s) dormancy indication inside active time, </w:t>
      </w:r>
      <w:r w:rsidR="00D07A15" w:rsidRPr="00D07A15">
        <w:rPr>
          <w:rFonts w:eastAsiaTheme="minorEastAsia" w:cs="Arial"/>
          <w:b/>
          <w:sz w:val="22"/>
          <w:lang w:eastAsia="zh-CN"/>
        </w:rPr>
        <w:t>t</w:t>
      </w:r>
      <w:r w:rsidR="00D07A15" w:rsidRPr="00D07A15">
        <w:rPr>
          <w:rFonts w:cs="Arial"/>
          <w:b/>
          <w:sz w:val="22"/>
        </w:rPr>
        <w:t>he explicit indication for SCell (s) bundling/state configuration can be based on RRC/MAC-CE/DCI. Since NW uses MAC-CE to do SCell (s) activation, the same MAC-CE (including bit map of SCells) can be used for SCell (s) dormancy behavior bundling with</w:t>
      </w:r>
    </w:p>
    <w:p w14:paraId="2A6B7705" w14:textId="77777777" w:rsidR="00D07A15" w:rsidRPr="00D07A15" w:rsidRDefault="00D07A15" w:rsidP="00D07A15">
      <w:pPr>
        <w:pStyle w:val="af7"/>
        <w:numPr>
          <w:ilvl w:val="0"/>
          <w:numId w:val="27"/>
        </w:numPr>
        <w:rPr>
          <w:rFonts w:ascii="Arial" w:hAnsi="Arial" w:cs="Arial"/>
          <w:b/>
        </w:rPr>
      </w:pPr>
      <w:r w:rsidRPr="00D07A15">
        <w:rPr>
          <w:rFonts w:ascii="Arial" w:hAnsi="Arial" w:cs="Arial"/>
          <w:b/>
        </w:rPr>
        <w:t>Using one reserved bit to indicate the SCell (s) bundling feature</w:t>
      </w:r>
    </w:p>
    <w:p w14:paraId="77C1C179" w14:textId="77777777" w:rsidR="00D07A15" w:rsidRPr="00D07A15" w:rsidRDefault="00D07A15" w:rsidP="00D07A15">
      <w:pPr>
        <w:pStyle w:val="af7"/>
        <w:numPr>
          <w:ilvl w:val="0"/>
          <w:numId w:val="27"/>
        </w:numPr>
        <w:rPr>
          <w:rFonts w:ascii="Arial" w:hAnsi="Arial" w:cs="Arial"/>
          <w:b/>
        </w:rPr>
      </w:pPr>
      <w:r w:rsidRPr="00D07A15">
        <w:rPr>
          <w:rFonts w:ascii="Arial" w:hAnsi="Arial" w:cs="Arial"/>
          <w:b/>
        </w:rPr>
        <w:t>Using another SCell (s) bit map for SCell (s) bundling (Ex. using the reserved bits in MAC-CE Index 33~46)</w:t>
      </w:r>
    </w:p>
    <w:p w14:paraId="658DAB63" w14:textId="5F2823CF" w:rsidR="00442C2A" w:rsidRDefault="00D07A15" w:rsidP="00D07A15">
      <w:pPr>
        <w:pStyle w:val="Doc-text2"/>
        <w:tabs>
          <w:tab w:val="left" w:pos="340"/>
        </w:tabs>
        <w:spacing w:before="120" w:after="120"/>
        <w:ind w:left="0" w:firstLine="0"/>
        <w:jc w:val="both"/>
        <w:rPr>
          <w:rFonts w:cs="Arial"/>
          <w:b/>
          <w:sz w:val="22"/>
        </w:rPr>
      </w:pPr>
      <w:r w:rsidRPr="00D07A15">
        <w:rPr>
          <w:rFonts w:cs="Arial"/>
          <w:b/>
          <w:sz w:val="22"/>
        </w:rPr>
        <w:t>For DCI based SCell (s) bundling/state configuration, the remaining bits of Case 2 DCI can be used.</w:t>
      </w:r>
    </w:p>
    <w:p w14:paraId="4D6EB2FB" w14:textId="7FE61EBE" w:rsidR="008F455E" w:rsidRDefault="008F455E" w:rsidP="00D07A15">
      <w:pPr>
        <w:pStyle w:val="Doc-text2"/>
        <w:tabs>
          <w:tab w:val="left" w:pos="340"/>
        </w:tabs>
        <w:spacing w:before="120" w:after="120"/>
        <w:ind w:left="0" w:firstLine="0"/>
        <w:jc w:val="both"/>
        <w:rPr>
          <w:rFonts w:cs="Arial"/>
          <w:b/>
          <w:sz w:val="22"/>
        </w:rPr>
      </w:pPr>
      <w:r>
        <w:rPr>
          <w:rFonts w:cs="Arial"/>
          <w:b/>
          <w:sz w:val="22"/>
        </w:rPr>
        <w:t>For RRC/MAC-CE based configuration</w:t>
      </w:r>
      <w:r w:rsidR="00310E42">
        <w:rPr>
          <w:rFonts w:cs="Arial"/>
          <w:b/>
          <w:sz w:val="22"/>
        </w:rPr>
        <w:t xml:space="preserve">, we can use </w:t>
      </w:r>
      <w:r w:rsidR="00DA5207">
        <w:rPr>
          <w:rFonts w:cs="Arial"/>
          <w:b/>
          <w:sz w:val="22"/>
        </w:rPr>
        <w:t xml:space="preserve">RRC </w:t>
      </w:r>
      <w:r w:rsidR="00310E42">
        <w:rPr>
          <w:rFonts w:cs="Arial"/>
          <w:b/>
          <w:sz w:val="22"/>
        </w:rPr>
        <w:t xml:space="preserve">to </w:t>
      </w:r>
      <w:r w:rsidR="00DA5207">
        <w:rPr>
          <w:rFonts w:cs="Arial"/>
          <w:b/>
          <w:sz w:val="22"/>
        </w:rPr>
        <w:t xml:space="preserve">configure a big pool of </w:t>
      </w:r>
      <w:r w:rsidR="00310E42">
        <w:rPr>
          <w:rFonts w:cs="Arial"/>
          <w:b/>
          <w:sz w:val="22"/>
        </w:rPr>
        <w:t xml:space="preserve">SCell </w:t>
      </w:r>
      <w:r w:rsidR="00DA5207">
        <w:rPr>
          <w:rFonts w:cs="Arial"/>
          <w:b/>
          <w:sz w:val="22"/>
        </w:rPr>
        <w:t xml:space="preserve">states, </w:t>
      </w:r>
      <w:r w:rsidR="00310E42">
        <w:rPr>
          <w:rFonts w:cs="Arial"/>
          <w:b/>
          <w:sz w:val="22"/>
        </w:rPr>
        <w:t xml:space="preserve">and use </w:t>
      </w:r>
      <w:r>
        <w:rPr>
          <w:rFonts w:cs="Arial"/>
          <w:b/>
          <w:sz w:val="22"/>
        </w:rPr>
        <w:t>MAC-CE configuration to activate</w:t>
      </w:r>
      <w:r w:rsidR="00DA5207">
        <w:rPr>
          <w:rFonts w:cs="Arial"/>
          <w:b/>
          <w:sz w:val="22"/>
        </w:rPr>
        <w:t xml:space="preserve"> </w:t>
      </w:r>
      <w:r>
        <w:rPr>
          <w:rFonts w:cs="Arial"/>
          <w:b/>
          <w:sz w:val="22"/>
        </w:rPr>
        <w:t xml:space="preserve">a </w:t>
      </w:r>
      <w:r w:rsidR="00DA5207">
        <w:rPr>
          <w:rFonts w:cs="Arial"/>
          <w:b/>
          <w:sz w:val="22"/>
        </w:rPr>
        <w:t xml:space="preserve">smaller pool of </w:t>
      </w:r>
      <w:r w:rsidR="00310E42">
        <w:rPr>
          <w:rFonts w:cs="Arial"/>
          <w:b/>
          <w:sz w:val="22"/>
        </w:rPr>
        <w:t xml:space="preserve">SCell </w:t>
      </w:r>
      <w:r w:rsidR="00DA5207">
        <w:rPr>
          <w:rFonts w:cs="Arial"/>
          <w:b/>
          <w:sz w:val="22"/>
        </w:rPr>
        <w:t>states</w:t>
      </w:r>
      <w:r w:rsidR="00211BCD">
        <w:rPr>
          <w:rFonts w:cs="Arial"/>
          <w:b/>
          <w:sz w:val="22"/>
        </w:rPr>
        <w:t>.</w:t>
      </w:r>
    </w:p>
    <w:p w14:paraId="2AD529F1" w14:textId="4E152DFC" w:rsidR="008F455E" w:rsidRPr="008F455E" w:rsidRDefault="008F455E" w:rsidP="00D07A15">
      <w:pPr>
        <w:pStyle w:val="Doc-text2"/>
        <w:tabs>
          <w:tab w:val="left" w:pos="340"/>
        </w:tabs>
        <w:spacing w:before="120" w:after="120"/>
        <w:ind w:left="0" w:firstLine="0"/>
        <w:jc w:val="both"/>
        <w:rPr>
          <w:rFonts w:cs="Arial"/>
          <w:b/>
          <w:sz w:val="22"/>
        </w:rPr>
      </w:pPr>
      <w:r w:rsidRPr="008F455E">
        <w:rPr>
          <w:rFonts w:cs="Arial"/>
          <w:b/>
          <w:sz w:val="22"/>
        </w:rPr>
        <w:t xml:space="preserve">The additional explicit bits in scheduling DCI (Case 1) can be less (Ex. 2 bits) with dynamic SCells configurations using MAC-CE or Case 2 DCI. </w:t>
      </w:r>
    </w:p>
    <w:p w14:paraId="62827E6D" w14:textId="458CF735" w:rsidR="009354E6" w:rsidRDefault="009354E6" w:rsidP="009354E6">
      <w:pPr>
        <w:pStyle w:val="1"/>
        <w:rPr>
          <w:rFonts w:cs="Arial"/>
        </w:rPr>
      </w:pPr>
      <w:r>
        <w:rPr>
          <w:rFonts w:cs="Arial"/>
          <w:color w:val="000000" w:themeColor="text1"/>
        </w:rPr>
        <w:t>3    Discussion</w:t>
      </w:r>
      <w:r w:rsidRPr="00E91736">
        <w:rPr>
          <w:rFonts w:cs="Arial"/>
          <w:color w:val="000000" w:themeColor="text1"/>
        </w:rPr>
        <w:t xml:space="preserve"> </w:t>
      </w:r>
      <w:r>
        <w:rPr>
          <w:rFonts w:cs="Arial"/>
          <w:color w:val="000000" w:themeColor="text1"/>
        </w:rPr>
        <w:t xml:space="preserve">of </w:t>
      </w:r>
      <w:r>
        <w:rPr>
          <w:rFonts w:cs="Arial"/>
        </w:rPr>
        <w:t>temporary RS for fast Scell activation</w:t>
      </w:r>
      <w:r w:rsidRPr="00E91736">
        <w:rPr>
          <w:rFonts w:cs="Arial"/>
          <w:color w:val="000000" w:themeColor="text1"/>
        </w:rPr>
        <w:t xml:space="preserve"> </w:t>
      </w:r>
    </w:p>
    <w:p w14:paraId="7F85094F" w14:textId="0BF876F1" w:rsidR="009354E6" w:rsidRPr="004445DA" w:rsidRDefault="009354E6" w:rsidP="009354E6">
      <w:pPr>
        <w:jc w:val="both"/>
        <w:rPr>
          <w:rFonts w:ascii="Arial" w:hAnsi="Arial" w:cs="Arial"/>
        </w:rPr>
      </w:pPr>
      <w:r>
        <w:rPr>
          <w:rFonts w:ascii="Arial" w:hAnsi="Arial" w:cs="Arial"/>
          <w:lang w:val="en-GB"/>
        </w:rPr>
        <w:t>C</w:t>
      </w:r>
      <w:r>
        <w:rPr>
          <w:rFonts w:ascii="Arial" w:hAnsi="Arial" w:cs="Arial"/>
        </w:rPr>
        <w:t xml:space="preserve">urrently, </w:t>
      </w:r>
      <w:r w:rsidRPr="007D6B7A">
        <w:rPr>
          <w:rFonts w:ascii="Arial" w:hAnsi="Arial" w:cs="Arial"/>
        </w:rPr>
        <w:t>only the SP CSI-RS, aperiodic CSI-RS, SP TRS, and aperiodic TRS are considered to be provided as the temporary RS</w:t>
      </w:r>
      <w:r>
        <w:rPr>
          <w:rFonts w:ascii="Arial" w:hAnsi="Arial" w:cs="Arial"/>
        </w:rPr>
        <w:t xml:space="preserve"> in RAN1. It is noted that</w:t>
      </w:r>
      <w:r w:rsidRPr="004445DA">
        <w:rPr>
          <w:rFonts w:ascii="Arial" w:hAnsi="Arial" w:cs="Arial"/>
        </w:rPr>
        <w:t>:</w:t>
      </w:r>
    </w:p>
    <w:p w14:paraId="2DC30580" w14:textId="77777777" w:rsidR="009354E6" w:rsidRDefault="009354E6" w:rsidP="009354E6">
      <w:pPr>
        <w:pStyle w:val="af7"/>
        <w:numPr>
          <w:ilvl w:val="0"/>
          <w:numId w:val="13"/>
        </w:numPr>
        <w:jc w:val="both"/>
        <w:rPr>
          <w:rFonts w:ascii="Arial" w:hAnsi="Arial" w:cs="Arial"/>
        </w:rPr>
      </w:pPr>
      <w:r w:rsidRPr="0026380B">
        <w:rPr>
          <w:rFonts w:ascii="Arial" w:hAnsi="Arial" w:cs="Arial"/>
        </w:rPr>
        <w:t>UE can only conduct the cell search based on PSS/SSS, which means that the samples of PSS/SSS used for cell search purpose are indispensable in the cases of activating an unknown cell.</w:t>
      </w:r>
      <w:r w:rsidRPr="00DE40A4">
        <w:rPr>
          <w:rFonts w:ascii="Arial" w:hAnsi="Arial" w:cs="Arial"/>
        </w:rPr>
        <w:t xml:space="preserve"> </w:t>
      </w:r>
    </w:p>
    <w:p w14:paraId="2DB6C542" w14:textId="77777777" w:rsidR="009354E6" w:rsidRDefault="009354E6" w:rsidP="009354E6">
      <w:pPr>
        <w:pStyle w:val="af7"/>
        <w:numPr>
          <w:ilvl w:val="0"/>
          <w:numId w:val="13"/>
        </w:numPr>
        <w:jc w:val="both"/>
        <w:rPr>
          <w:rFonts w:ascii="Arial" w:hAnsi="Arial" w:cs="Arial"/>
        </w:rPr>
      </w:pPr>
      <w:r>
        <w:rPr>
          <w:rFonts w:ascii="Arial" w:hAnsi="Arial" w:cs="Arial"/>
        </w:rPr>
        <w:t>Temporary RS is triggered by MAC-CE or DCI</w:t>
      </w:r>
      <w:r w:rsidRPr="007B5D19">
        <w:rPr>
          <w:rFonts w:ascii="Arial" w:hAnsi="Arial" w:cs="Arial"/>
        </w:rPr>
        <w:t xml:space="preserve"> </w:t>
      </w:r>
    </w:p>
    <w:p w14:paraId="57BA52EF" w14:textId="77777777" w:rsidR="009354E6" w:rsidRPr="0026380B" w:rsidRDefault="009354E6" w:rsidP="009354E6">
      <w:pPr>
        <w:pStyle w:val="af7"/>
        <w:ind w:left="1004"/>
        <w:jc w:val="both"/>
        <w:rPr>
          <w:rFonts w:ascii="Arial" w:hAnsi="Arial" w:cs="Arial"/>
        </w:rPr>
      </w:pPr>
      <w:r w:rsidRPr="00FF4445">
        <w:rPr>
          <w:rFonts w:ascii="Arial" w:hAnsi="Arial" w:cs="Arial"/>
        </w:rPr>
        <w:t xml:space="preserve">Assume that </w:t>
      </w:r>
      <w:r>
        <w:rPr>
          <w:rFonts w:ascii="Arial" w:hAnsi="Arial" w:cs="Arial"/>
        </w:rPr>
        <w:t xml:space="preserve">one burst of temporary RS consists of </w:t>
      </w:r>
      <w:r w:rsidRPr="00FF4445">
        <w:rPr>
          <w:rFonts w:ascii="Arial" w:hAnsi="Arial" w:cs="Arial"/>
        </w:rPr>
        <w:t>2 temporary RS</w:t>
      </w:r>
      <w:r w:rsidRPr="00DC4515">
        <w:rPr>
          <w:rFonts w:ascii="Arial" w:hAnsi="Arial" w:cs="Arial"/>
        </w:rPr>
        <w:t xml:space="preserve"> resources in </w:t>
      </w:r>
      <w:r>
        <w:rPr>
          <w:rFonts w:ascii="Arial" w:hAnsi="Arial" w:cs="Arial"/>
        </w:rPr>
        <w:t>a</w:t>
      </w:r>
      <w:r w:rsidRPr="00DC4515">
        <w:rPr>
          <w:rFonts w:ascii="Arial" w:hAnsi="Arial" w:cs="Arial"/>
        </w:rPr>
        <w:t xml:space="preserve"> slot. The periodicity of this temporary RS is denoted by T</w:t>
      </w:r>
      <w:r w:rsidRPr="00DC4515">
        <w:rPr>
          <w:rFonts w:ascii="Arial" w:hAnsi="Arial" w:cs="Arial"/>
          <w:vertAlign w:val="subscript"/>
        </w:rPr>
        <w:t>tmpRS</w:t>
      </w:r>
      <w:r w:rsidRPr="00DC4515">
        <w:rPr>
          <w:rFonts w:ascii="Arial" w:hAnsi="Arial" w:cs="Arial"/>
        </w:rPr>
        <w:t xml:space="preserve">. </w:t>
      </w:r>
    </w:p>
    <w:p w14:paraId="220C927D" w14:textId="48C1CC85" w:rsidR="009354E6" w:rsidRPr="00FF4445" w:rsidRDefault="009354E6" w:rsidP="009354E6">
      <w:pPr>
        <w:pStyle w:val="af2"/>
        <w:jc w:val="center"/>
        <w:rPr>
          <w:rFonts w:ascii="Arial" w:hAnsi="Arial" w:cs="Arial"/>
        </w:rPr>
      </w:pPr>
      <w:r w:rsidRPr="00845FC3">
        <w:rPr>
          <w:rFonts w:ascii="Arial" w:hAnsi="Arial" w:cs="Arial"/>
          <w:noProof/>
          <w:lang w:eastAsia="zh-CN"/>
        </w:rPr>
        <w:lastRenderedPageBreak/>
        <w:drawing>
          <wp:inline distT="0" distB="0" distL="0" distR="0" wp14:anchorId="1B80B3DC" wp14:editId="3380B432">
            <wp:extent cx="3748679" cy="1329996"/>
            <wp:effectExtent l="0" t="0" r="4445" b="0"/>
            <wp:docPr id="224" name="Picture 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758307" cy="1333412"/>
                    </a:xfrm>
                    <a:prstGeom prst="rect">
                      <a:avLst/>
                    </a:prstGeom>
                    <a:noFill/>
                  </pic:spPr>
                </pic:pic>
              </a:graphicData>
            </a:graphic>
          </wp:inline>
        </w:drawing>
      </w:r>
      <w:r w:rsidRPr="00845FC3">
        <w:rPr>
          <w:rFonts w:ascii="Arial" w:hAnsi="Arial" w:cs="Arial"/>
        </w:rPr>
        <w:br/>
      </w:r>
      <w:r w:rsidRPr="00845FC3">
        <w:t xml:space="preserve">Figure </w:t>
      </w:r>
      <w:r>
        <w:t>1</w:t>
      </w:r>
      <w:r w:rsidRPr="00845FC3">
        <w:t>: Temporary RS structure</w:t>
      </w:r>
    </w:p>
    <w:p w14:paraId="575C7BF5" w14:textId="77777777" w:rsidR="009354E6" w:rsidRPr="0026380B" w:rsidRDefault="009354E6" w:rsidP="009354E6">
      <w:pPr>
        <w:pStyle w:val="af7"/>
        <w:numPr>
          <w:ilvl w:val="0"/>
          <w:numId w:val="13"/>
        </w:numPr>
        <w:jc w:val="both"/>
        <w:rPr>
          <w:rFonts w:ascii="Arial" w:hAnsi="Arial" w:cs="Arial"/>
        </w:rPr>
      </w:pPr>
      <w:r w:rsidRPr="0026380B">
        <w:rPr>
          <w:rFonts w:ascii="Arial" w:hAnsi="Arial" w:cs="Arial"/>
        </w:rPr>
        <w:t xml:space="preserve">UE needs at least </w:t>
      </w:r>
      <w:r>
        <w:rPr>
          <w:rFonts w:ascii="Arial" w:hAnsi="Arial" w:cs="Arial"/>
        </w:rPr>
        <w:t>1</w:t>
      </w:r>
      <w:r w:rsidRPr="0026380B">
        <w:rPr>
          <w:rFonts w:ascii="Arial" w:hAnsi="Arial" w:cs="Arial"/>
        </w:rPr>
        <w:t xml:space="preserve"> </w:t>
      </w:r>
      <w:r>
        <w:rPr>
          <w:rFonts w:ascii="Arial" w:hAnsi="Arial" w:cs="Arial"/>
        </w:rPr>
        <w:t>burst</w:t>
      </w:r>
      <w:r w:rsidRPr="0026380B">
        <w:rPr>
          <w:rFonts w:ascii="Arial" w:hAnsi="Arial" w:cs="Arial"/>
        </w:rPr>
        <w:t xml:space="preserve"> to adjust an appropriate AGC gain. </w:t>
      </w:r>
    </w:p>
    <w:p w14:paraId="120C48D6" w14:textId="77777777" w:rsidR="009354E6" w:rsidRDefault="009354E6" w:rsidP="009354E6">
      <w:pPr>
        <w:pStyle w:val="af7"/>
        <w:numPr>
          <w:ilvl w:val="0"/>
          <w:numId w:val="13"/>
        </w:numPr>
        <w:jc w:val="both"/>
        <w:rPr>
          <w:rFonts w:ascii="Arial" w:hAnsi="Arial" w:cs="Arial"/>
        </w:rPr>
      </w:pPr>
      <w:r w:rsidRPr="0026380B">
        <w:rPr>
          <w:rFonts w:ascii="Arial" w:hAnsi="Arial" w:cs="Arial"/>
        </w:rPr>
        <w:t>The AGC gain from fine Tx beam can’t refer to the AGC gain for rough Tx beam, and vice versa. Therefore, if SSB is transmitted from rough beam and TRS is transmitted from fine beam, then both RS need their own samples</w:t>
      </w:r>
      <w:r>
        <w:rPr>
          <w:rFonts w:ascii="Arial" w:hAnsi="Arial" w:cs="Arial"/>
        </w:rPr>
        <w:t>/burst</w:t>
      </w:r>
      <w:r w:rsidRPr="0026380B">
        <w:rPr>
          <w:rFonts w:ascii="Arial" w:hAnsi="Arial" w:cs="Arial"/>
        </w:rPr>
        <w:t xml:space="preserve"> for AGC gain setting.</w:t>
      </w:r>
      <w:r>
        <w:rPr>
          <w:rFonts w:ascii="Arial" w:hAnsi="Arial" w:cs="Arial"/>
        </w:rPr>
        <w:t xml:space="preserve"> </w:t>
      </w:r>
    </w:p>
    <w:p w14:paraId="70788BBD" w14:textId="19A57704" w:rsidR="009354E6" w:rsidRPr="00CC1069" w:rsidRDefault="009354E6" w:rsidP="009354E6">
      <w:pPr>
        <w:jc w:val="both"/>
      </w:pPr>
      <w:r w:rsidRPr="009354E6">
        <w:rPr>
          <w:rFonts w:ascii="Arial" w:hAnsi="Arial" w:cs="Arial"/>
        </w:rPr>
        <w:t>We hence have the following observation:</w:t>
      </w:r>
      <w:r w:rsidRPr="00CC1069">
        <w:t xml:space="preserve"> </w:t>
      </w:r>
    </w:p>
    <w:p w14:paraId="634BB2D4" w14:textId="77777777" w:rsidR="009354E6" w:rsidRDefault="009354E6" w:rsidP="009354E6">
      <w:pPr>
        <w:pStyle w:val="af2"/>
        <w:rPr>
          <w:rFonts w:ascii="Arial" w:hAnsi="Arial" w:cs="Arial"/>
          <w:i/>
          <w:sz w:val="22"/>
          <w:szCs w:val="22"/>
        </w:rPr>
      </w:pPr>
      <w:bookmarkStart w:id="7" w:name="_Ref21097009"/>
      <w:r w:rsidRPr="007802AA">
        <w:rPr>
          <w:rFonts w:ascii="Arial" w:hAnsi="Arial" w:cs="Arial"/>
          <w:i/>
          <w:sz w:val="22"/>
          <w:szCs w:val="22"/>
          <w:u w:val="single"/>
        </w:rPr>
        <w:t xml:space="preserve">Observation </w:t>
      </w:r>
      <w:r>
        <w:rPr>
          <w:rFonts w:ascii="Arial" w:hAnsi="Arial" w:cs="Arial"/>
          <w:i/>
          <w:sz w:val="22"/>
          <w:szCs w:val="22"/>
          <w:u w:val="single"/>
        </w:rPr>
        <w:t>2</w:t>
      </w:r>
      <w:r w:rsidRPr="007802AA">
        <w:rPr>
          <w:rFonts w:ascii="Arial" w:hAnsi="Arial" w:cs="Arial"/>
          <w:i/>
          <w:sz w:val="22"/>
          <w:szCs w:val="22"/>
          <w:u w:val="single"/>
        </w:rPr>
        <w:t>:</w:t>
      </w:r>
      <w:r w:rsidRPr="00B20580">
        <w:rPr>
          <w:rFonts w:ascii="Arial" w:hAnsi="Arial" w:cs="Arial"/>
          <w:i/>
          <w:sz w:val="22"/>
          <w:szCs w:val="22"/>
        </w:rPr>
        <w:t xml:space="preserve"> For the known cell cases or in FR1 unknown cell case with only 1 SSB is transmitted, temporary RS is able to reduce the activation delay by 10ms, when periodicity of temporary RS 5ms is assumed.</w:t>
      </w:r>
      <w:bookmarkEnd w:id="7"/>
    </w:p>
    <w:p w14:paraId="2B6D1110" w14:textId="6A1850A5" w:rsidR="009354E6" w:rsidRPr="009354E6" w:rsidRDefault="009354E6" w:rsidP="009354E6">
      <w:pPr>
        <w:pStyle w:val="af2"/>
        <w:rPr>
          <w:rFonts w:ascii="Arial" w:hAnsi="Arial" w:cs="Arial"/>
          <w:i/>
        </w:rPr>
      </w:pPr>
      <w:r>
        <w:rPr>
          <w:rFonts w:ascii="Arial" w:hAnsi="Arial" w:cs="Arial"/>
        </w:rPr>
        <w:t xml:space="preserve"> </w:t>
      </w:r>
    </w:p>
    <w:p w14:paraId="12345FD8" w14:textId="6F766AF1" w:rsidR="009354E6" w:rsidRPr="00583AC1" w:rsidRDefault="009354E6" w:rsidP="009354E6">
      <w:pPr>
        <w:rPr>
          <w:rFonts w:ascii="Arial" w:hAnsi="Arial" w:cs="Arial"/>
        </w:rPr>
      </w:pPr>
      <w:r>
        <w:rPr>
          <w:rFonts w:ascii="Arial" w:hAnsi="Arial" w:cs="Arial"/>
        </w:rPr>
        <w:t xml:space="preserve">In our understanding, the transmission of the </w:t>
      </w:r>
      <w:r w:rsidRPr="003959FB">
        <w:rPr>
          <w:rFonts w:ascii="Arial" w:hAnsi="Arial" w:cs="Arial"/>
        </w:rPr>
        <w:t>DCI</w:t>
      </w:r>
      <w:r>
        <w:rPr>
          <w:rFonts w:ascii="Arial" w:hAnsi="Arial" w:cs="Arial"/>
        </w:rPr>
        <w:t xml:space="preserve"> triggering the temporary RS</w:t>
      </w:r>
      <w:r w:rsidRPr="003959FB">
        <w:rPr>
          <w:rFonts w:ascii="Arial" w:hAnsi="Arial" w:cs="Arial"/>
        </w:rPr>
        <w:t xml:space="preserve"> </w:t>
      </w:r>
      <w:r>
        <w:rPr>
          <w:rFonts w:ascii="Arial" w:hAnsi="Arial" w:cs="Arial"/>
        </w:rPr>
        <w:t xml:space="preserve">should avoid the time </w:t>
      </w:r>
      <w:r w:rsidRPr="003959FB">
        <w:rPr>
          <w:rFonts w:ascii="Arial" w:hAnsi="Arial" w:cs="Arial"/>
        </w:rPr>
        <w:t>when UE switch</w:t>
      </w:r>
      <w:r>
        <w:rPr>
          <w:rFonts w:ascii="Arial" w:hAnsi="Arial" w:cs="Arial"/>
        </w:rPr>
        <w:t>es</w:t>
      </w:r>
      <w:r w:rsidRPr="003959FB">
        <w:rPr>
          <w:rFonts w:ascii="Arial" w:hAnsi="Arial" w:cs="Arial"/>
        </w:rPr>
        <w:t xml:space="preserve"> the RF</w:t>
      </w:r>
      <w:r>
        <w:rPr>
          <w:rFonts w:ascii="Arial" w:hAnsi="Arial" w:cs="Arial"/>
        </w:rPr>
        <w:t xml:space="preserve"> because of</w:t>
      </w:r>
      <w:r w:rsidRPr="003959FB">
        <w:rPr>
          <w:rFonts w:ascii="Arial" w:hAnsi="Arial" w:cs="Arial"/>
        </w:rPr>
        <w:t xml:space="preserve"> </w:t>
      </w:r>
      <w:r>
        <w:rPr>
          <w:rFonts w:ascii="Arial" w:hAnsi="Arial" w:cs="Arial"/>
        </w:rPr>
        <w:t xml:space="preserve">the </w:t>
      </w:r>
      <w:r w:rsidRPr="003959FB">
        <w:rPr>
          <w:rFonts w:ascii="Arial" w:hAnsi="Arial" w:cs="Arial"/>
        </w:rPr>
        <w:t>interruption</w:t>
      </w:r>
      <w:r>
        <w:rPr>
          <w:rFonts w:ascii="Arial" w:hAnsi="Arial" w:cs="Arial"/>
        </w:rPr>
        <w:t xml:space="preserve">. The only way to trigger this temporary RS is to allocate </w:t>
      </w:r>
      <w:r w:rsidRPr="00583AC1">
        <w:rPr>
          <w:rFonts w:ascii="Arial" w:hAnsi="Arial" w:cs="Arial"/>
        </w:rPr>
        <w:t xml:space="preserve">DCI on the PDCCH </w:t>
      </w:r>
      <w:r>
        <w:rPr>
          <w:rFonts w:ascii="Arial" w:hAnsi="Arial" w:cs="Arial"/>
        </w:rPr>
        <w:t xml:space="preserve">together with </w:t>
      </w:r>
      <w:r w:rsidRPr="00583AC1">
        <w:rPr>
          <w:rFonts w:ascii="Arial" w:hAnsi="Arial" w:cs="Arial"/>
        </w:rPr>
        <w:t>the SCell activation command</w:t>
      </w:r>
      <w:r>
        <w:rPr>
          <w:rFonts w:ascii="Arial" w:hAnsi="Arial" w:cs="Arial"/>
        </w:rPr>
        <w:t>.</w:t>
      </w:r>
      <w:r w:rsidRPr="00583AC1">
        <w:rPr>
          <w:rFonts w:ascii="Arial" w:hAnsi="Arial" w:cs="Arial"/>
        </w:rPr>
        <w:t xml:space="preserve"> </w:t>
      </w:r>
      <w:r w:rsidRPr="00AC5E19">
        <w:rPr>
          <w:rFonts w:ascii="Arial" w:hAnsi="Arial" w:cs="Arial"/>
        </w:rPr>
        <w:t>Considering that temporary RS can’t reduce S</w:t>
      </w:r>
      <w:r w:rsidRPr="00834728">
        <w:rPr>
          <w:rFonts w:ascii="Arial" w:hAnsi="Arial" w:cs="Arial"/>
        </w:rPr>
        <w:t xml:space="preserve">Cell activation delay for the cases </w:t>
      </w:r>
      <w:r w:rsidRPr="00AC5E19">
        <w:rPr>
          <w:rFonts w:ascii="Arial" w:hAnsi="Arial" w:cs="Arial"/>
        </w:rPr>
        <w:t>FR2 unknown cells</w:t>
      </w:r>
      <w:r w:rsidRPr="003F71A0">
        <w:rPr>
          <w:rFonts w:ascii="Arial" w:hAnsi="Arial" w:cs="Arial"/>
        </w:rPr>
        <w:t xml:space="preserve">, we focus on known cell here. </w:t>
      </w:r>
      <w:r>
        <w:rPr>
          <w:rFonts w:ascii="Arial" w:hAnsi="Arial" w:cs="Arial"/>
        </w:rPr>
        <w:t>T</w:t>
      </w:r>
      <w:r w:rsidRPr="00AC5E19">
        <w:rPr>
          <w:rFonts w:ascii="Arial" w:hAnsi="Arial" w:cs="Arial"/>
        </w:rPr>
        <w:t xml:space="preserve">he </w:t>
      </w:r>
      <w:r w:rsidRPr="003F71A0">
        <w:rPr>
          <w:rFonts w:ascii="Arial" w:hAnsi="Arial" w:cs="Arial"/>
        </w:rPr>
        <w:t xml:space="preserve">shortest time that UE is ready for receiving </w:t>
      </w:r>
      <w:r w:rsidRPr="00834728">
        <w:rPr>
          <w:rFonts w:ascii="Arial" w:hAnsi="Arial" w:cs="Arial"/>
        </w:rPr>
        <w:t xml:space="preserve">temporary RS </w:t>
      </w:r>
      <w:r w:rsidRPr="00AC5E19">
        <w:rPr>
          <w:rFonts w:ascii="Arial" w:hAnsi="Arial" w:cs="Arial"/>
        </w:rPr>
        <w:t xml:space="preserve">resources </w:t>
      </w:r>
      <w:r w:rsidRPr="003F71A0">
        <w:rPr>
          <w:rFonts w:ascii="Arial" w:hAnsi="Arial" w:cs="Arial"/>
        </w:rPr>
        <w:t xml:space="preserve">is </w:t>
      </w:r>
      <w:r w:rsidRPr="00AC5E19">
        <w:rPr>
          <w:rFonts w:ascii="Arial" w:hAnsi="Arial" w:cs="Arial"/>
        </w:rPr>
        <w:t>T</w:t>
      </w:r>
      <w:r w:rsidRPr="00AC5E19">
        <w:rPr>
          <w:rFonts w:ascii="Arial" w:hAnsi="Arial" w:cs="Arial"/>
          <w:vertAlign w:val="subscript"/>
        </w:rPr>
        <w:t>HARQ</w:t>
      </w:r>
      <w:r w:rsidRPr="00834728">
        <w:rPr>
          <w:rFonts w:ascii="Arial" w:hAnsi="Arial" w:cs="Arial"/>
        </w:rPr>
        <w:t>+3ms</w:t>
      </w:r>
      <w:r w:rsidRPr="00AC5E19">
        <w:rPr>
          <w:rFonts w:ascii="Arial" w:hAnsi="Arial" w:cs="Arial"/>
        </w:rPr>
        <w:t xml:space="preserve">, </w:t>
      </w:r>
      <w:r w:rsidRPr="003F71A0">
        <w:rPr>
          <w:rFonts w:ascii="Arial" w:hAnsi="Arial" w:cs="Arial"/>
        </w:rPr>
        <w:t xml:space="preserve">aggregating aperiodic RS trigger with SCell activation command </w:t>
      </w:r>
      <w:r w:rsidRPr="00AC5E19">
        <w:rPr>
          <w:rFonts w:ascii="Arial" w:hAnsi="Arial" w:cs="Arial"/>
        </w:rPr>
        <w:t>solution seems to be applicable.</w:t>
      </w:r>
      <w:r>
        <w:rPr>
          <w:rFonts w:ascii="Arial" w:hAnsi="Arial" w:cs="Arial"/>
        </w:rPr>
        <w:t xml:space="preserve"> However, t</w:t>
      </w:r>
      <w:r w:rsidRPr="00583AC1">
        <w:rPr>
          <w:rFonts w:ascii="Arial" w:hAnsi="Arial" w:cs="Arial"/>
        </w:rPr>
        <w:t xml:space="preserve">he values of </w:t>
      </w:r>
      <w:r w:rsidRPr="00583AC1">
        <w:rPr>
          <w:rFonts w:ascii="Arial" w:hAnsi="Arial" w:cs="Arial"/>
          <w:i/>
          <w:iCs/>
        </w:rPr>
        <w:t xml:space="preserve">aperiodicTriggeringOffset </w:t>
      </w:r>
      <w:r w:rsidRPr="003F71A0">
        <w:rPr>
          <w:rFonts w:ascii="Arial" w:hAnsi="Arial" w:cs="Arial"/>
          <w:iCs/>
        </w:rPr>
        <w:t xml:space="preserve">is too short, as </w:t>
      </w:r>
      <w:r w:rsidRPr="00FD51AF">
        <w:rPr>
          <w:rFonts w:ascii="Arial" w:hAnsi="Arial" w:cs="Arial"/>
        </w:rPr>
        <w:t xml:space="preserve">specified </w:t>
      </w:r>
      <w:r w:rsidRPr="00583AC1">
        <w:rPr>
          <w:rFonts w:ascii="Arial" w:hAnsi="Arial" w:cs="Arial"/>
        </w:rPr>
        <w:t xml:space="preserve">in </w:t>
      </w:r>
      <w:r>
        <w:rPr>
          <w:rFonts w:ascii="Arial" w:hAnsi="Arial" w:cs="Arial"/>
        </w:rPr>
        <w:t xml:space="preserve">current spec </w:t>
      </w:r>
      <w:r w:rsidRPr="00583AC1">
        <w:rPr>
          <w:rFonts w:ascii="Arial" w:hAnsi="Arial" w:cs="Arial"/>
        </w:rPr>
        <w:t xml:space="preserve">TS38.331 </w:t>
      </w:r>
      <w:r>
        <w:rPr>
          <w:rFonts w:ascii="Arial" w:hAnsi="Arial" w:cs="Arial"/>
        </w:rPr>
        <w:t>(also</w:t>
      </w:r>
      <w:r w:rsidRPr="00583AC1">
        <w:rPr>
          <w:rFonts w:ascii="Arial" w:hAnsi="Arial" w:cs="Arial"/>
        </w:rPr>
        <w:t xml:space="preserve"> </w:t>
      </w:r>
      <w:r>
        <w:rPr>
          <w:rFonts w:ascii="Arial" w:hAnsi="Arial" w:cs="Arial"/>
        </w:rPr>
        <w:t xml:space="preserve">listed in </w:t>
      </w:r>
      <w:r>
        <w:rPr>
          <w:rFonts w:ascii="Arial" w:hAnsi="Arial" w:cs="Arial"/>
        </w:rPr>
        <w:fldChar w:fldCharType="begin"/>
      </w:r>
      <w:r>
        <w:rPr>
          <w:rFonts w:ascii="Arial" w:hAnsi="Arial" w:cs="Arial"/>
        </w:rPr>
        <w:instrText xml:space="preserve"> REF _Ref21097167 \h  \* MERGEFORMAT </w:instrText>
      </w:r>
      <w:r>
        <w:rPr>
          <w:rFonts w:ascii="Arial" w:hAnsi="Arial" w:cs="Arial"/>
        </w:rPr>
      </w:r>
      <w:r>
        <w:rPr>
          <w:rFonts w:ascii="Arial" w:hAnsi="Arial" w:cs="Arial"/>
        </w:rPr>
        <w:fldChar w:fldCharType="separate"/>
      </w:r>
      <w:r w:rsidRPr="00B20580">
        <w:rPr>
          <w:rFonts w:ascii="Arial" w:hAnsi="Arial" w:cs="Arial"/>
        </w:rPr>
        <w:t>Table 1</w:t>
      </w:r>
      <w:r>
        <w:rPr>
          <w:rFonts w:ascii="Arial" w:hAnsi="Arial" w:cs="Arial"/>
        </w:rPr>
        <w:fldChar w:fldCharType="end"/>
      </w:r>
      <w:r>
        <w:rPr>
          <w:rFonts w:ascii="Arial" w:hAnsi="Arial" w:cs="Arial"/>
        </w:rPr>
        <w:t xml:space="preserve"> below).</w:t>
      </w:r>
      <w:r w:rsidRPr="00583AC1">
        <w:rPr>
          <w:rFonts w:ascii="Arial" w:hAnsi="Arial" w:cs="Arial"/>
          <w:i/>
          <w:iCs/>
        </w:rPr>
        <w:t xml:space="preserve"> </w:t>
      </w:r>
      <w:r>
        <w:rPr>
          <w:rFonts w:ascii="Arial" w:hAnsi="Arial" w:cs="Arial"/>
        </w:rPr>
        <w:t>I</w:t>
      </w:r>
      <w:r w:rsidRPr="00583AC1">
        <w:rPr>
          <w:rFonts w:ascii="Arial" w:hAnsi="Arial" w:cs="Arial"/>
        </w:rPr>
        <w:t>t defines the offset X between the slot containing the DCI that triggers a set of aperiodic NZP CSI-RS resources and the slot in which the CSI-RS resource set is transmitted</w:t>
      </w:r>
      <w:r>
        <w:rPr>
          <w:rFonts w:ascii="Arial" w:hAnsi="Arial" w:cs="Arial"/>
        </w:rPr>
        <w:t xml:space="preserve">. To </w:t>
      </w:r>
      <w:r w:rsidRPr="00A87EE1">
        <w:rPr>
          <w:rFonts w:ascii="Arial" w:hAnsi="Arial" w:cs="Arial"/>
        </w:rPr>
        <w:t>facilitate</w:t>
      </w:r>
      <w:r>
        <w:rPr>
          <w:rFonts w:ascii="Arial" w:hAnsi="Arial" w:cs="Arial"/>
        </w:rPr>
        <w:t xml:space="preserve"> the implementation of DCI triggered temporary RS, longer offset is needed.</w:t>
      </w:r>
    </w:p>
    <w:p w14:paraId="7E4D8A73" w14:textId="77777777" w:rsidR="009354E6" w:rsidRDefault="009354E6" w:rsidP="009354E6">
      <w:pPr>
        <w:pStyle w:val="af2"/>
        <w:jc w:val="center"/>
      </w:pPr>
      <w:bookmarkStart w:id="8" w:name="_Ref21097167"/>
      <w:bookmarkStart w:id="9" w:name="_Ref20857633"/>
      <w:r>
        <w:t xml:space="preserve">Table </w:t>
      </w:r>
      <w:fldSimple w:instr=" SEQ Table \* ARABIC ">
        <w:r>
          <w:rPr>
            <w:noProof/>
          </w:rPr>
          <w:t>1</w:t>
        </w:r>
      </w:fldSimple>
      <w:bookmarkEnd w:id="8"/>
      <w:r>
        <w:t xml:space="preserve">: The values of </w:t>
      </w:r>
      <w:r w:rsidRPr="0026380B">
        <w:rPr>
          <w:i/>
        </w:rPr>
        <w:t>aperiodicTriggeringOffset</w:t>
      </w:r>
      <w:r w:rsidRPr="003575B7">
        <w:t xml:space="preserve"> specified in TS38.331</w:t>
      </w:r>
      <w:bookmarkEnd w:id="9"/>
    </w:p>
    <w:tbl>
      <w:tblPr>
        <w:tblStyle w:val="af6"/>
        <w:tblW w:w="0" w:type="auto"/>
        <w:tblInd w:w="360" w:type="dxa"/>
        <w:tblLook w:val="04A0" w:firstRow="1" w:lastRow="0" w:firstColumn="1" w:lastColumn="0" w:noHBand="0" w:noVBand="1"/>
      </w:tblPr>
      <w:tblGrid>
        <w:gridCol w:w="3060"/>
        <w:gridCol w:w="887"/>
        <w:gridCol w:w="887"/>
        <w:gridCol w:w="887"/>
        <w:gridCol w:w="887"/>
        <w:gridCol w:w="887"/>
        <w:gridCol w:w="887"/>
        <w:gridCol w:w="887"/>
      </w:tblGrid>
      <w:tr w:rsidR="009354E6" w14:paraId="60A2568F" w14:textId="77777777" w:rsidTr="003545DA">
        <w:tc>
          <w:tcPr>
            <w:tcW w:w="3060" w:type="dxa"/>
          </w:tcPr>
          <w:p w14:paraId="7FC56BB0" w14:textId="77777777" w:rsidR="009354E6" w:rsidRPr="0026380B" w:rsidRDefault="009354E6" w:rsidP="003545DA">
            <w:pPr>
              <w:tabs>
                <w:tab w:val="num" w:pos="2160"/>
              </w:tabs>
              <w:rPr>
                <w:rFonts w:ascii="Arial" w:hAnsi="Arial" w:cs="Arial"/>
                <w:i/>
                <w:color w:val="000000" w:themeColor="text1"/>
                <w:kern w:val="24"/>
                <w:sz w:val="18"/>
                <w:szCs w:val="18"/>
              </w:rPr>
            </w:pPr>
            <w:r w:rsidRPr="0026380B">
              <w:rPr>
                <w:rFonts w:ascii="Arial" w:hAnsi="Arial" w:cs="Arial"/>
                <w:i/>
                <w:color w:val="000000" w:themeColor="text1"/>
                <w:kern w:val="24"/>
                <w:sz w:val="18"/>
                <w:szCs w:val="18"/>
              </w:rPr>
              <w:t>aperiodicTriggeringOffset</w:t>
            </w:r>
          </w:p>
        </w:tc>
        <w:tc>
          <w:tcPr>
            <w:tcW w:w="887" w:type="dxa"/>
          </w:tcPr>
          <w:p w14:paraId="53C14056" w14:textId="77777777" w:rsidR="009354E6" w:rsidRPr="0026380B" w:rsidRDefault="009354E6" w:rsidP="003545DA">
            <w:pPr>
              <w:tabs>
                <w:tab w:val="num" w:pos="2160"/>
              </w:tabs>
              <w:rPr>
                <w:rFonts w:ascii="Arial" w:hAnsi="Arial" w:cs="Arial"/>
                <w:color w:val="000000" w:themeColor="text1"/>
                <w:kern w:val="24"/>
                <w:sz w:val="18"/>
                <w:szCs w:val="18"/>
              </w:rPr>
            </w:pPr>
            <w:r w:rsidRPr="0026380B">
              <w:rPr>
                <w:rFonts w:ascii="Arial" w:hAnsi="Arial" w:cs="Arial"/>
                <w:color w:val="000000" w:themeColor="text1"/>
                <w:kern w:val="24"/>
                <w:sz w:val="18"/>
                <w:szCs w:val="18"/>
              </w:rPr>
              <w:t>0</w:t>
            </w:r>
          </w:p>
        </w:tc>
        <w:tc>
          <w:tcPr>
            <w:tcW w:w="887" w:type="dxa"/>
          </w:tcPr>
          <w:p w14:paraId="37CE17C2" w14:textId="77777777" w:rsidR="009354E6" w:rsidRPr="0026380B" w:rsidRDefault="009354E6" w:rsidP="003545DA">
            <w:pPr>
              <w:tabs>
                <w:tab w:val="num" w:pos="2160"/>
              </w:tabs>
              <w:rPr>
                <w:rFonts w:ascii="Arial" w:hAnsi="Arial" w:cs="Arial"/>
                <w:color w:val="000000" w:themeColor="text1"/>
                <w:kern w:val="24"/>
                <w:sz w:val="18"/>
                <w:szCs w:val="18"/>
              </w:rPr>
            </w:pPr>
            <w:r w:rsidRPr="0026380B">
              <w:rPr>
                <w:rFonts w:ascii="Arial" w:hAnsi="Arial" w:cs="Arial"/>
                <w:color w:val="000000" w:themeColor="text1"/>
                <w:kern w:val="24"/>
                <w:sz w:val="18"/>
                <w:szCs w:val="18"/>
              </w:rPr>
              <w:t>1</w:t>
            </w:r>
          </w:p>
        </w:tc>
        <w:tc>
          <w:tcPr>
            <w:tcW w:w="887" w:type="dxa"/>
          </w:tcPr>
          <w:p w14:paraId="78723242" w14:textId="77777777" w:rsidR="009354E6" w:rsidRPr="0026380B" w:rsidRDefault="009354E6" w:rsidP="003545DA">
            <w:pPr>
              <w:tabs>
                <w:tab w:val="num" w:pos="2160"/>
              </w:tabs>
              <w:rPr>
                <w:rFonts w:ascii="Arial" w:hAnsi="Arial" w:cs="Arial"/>
                <w:color w:val="000000" w:themeColor="text1"/>
                <w:kern w:val="24"/>
                <w:sz w:val="18"/>
                <w:szCs w:val="18"/>
              </w:rPr>
            </w:pPr>
            <w:r w:rsidRPr="0026380B">
              <w:rPr>
                <w:rFonts w:ascii="Arial" w:hAnsi="Arial" w:cs="Arial"/>
                <w:color w:val="000000" w:themeColor="text1"/>
                <w:kern w:val="24"/>
                <w:sz w:val="18"/>
                <w:szCs w:val="18"/>
              </w:rPr>
              <w:t>2</w:t>
            </w:r>
          </w:p>
        </w:tc>
        <w:tc>
          <w:tcPr>
            <w:tcW w:w="887" w:type="dxa"/>
          </w:tcPr>
          <w:p w14:paraId="4FFF0470" w14:textId="77777777" w:rsidR="009354E6" w:rsidRPr="0026380B" w:rsidRDefault="009354E6" w:rsidP="003545DA">
            <w:pPr>
              <w:tabs>
                <w:tab w:val="num" w:pos="2160"/>
              </w:tabs>
              <w:rPr>
                <w:rFonts w:ascii="Arial" w:hAnsi="Arial" w:cs="Arial"/>
                <w:color w:val="000000" w:themeColor="text1"/>
                <w:kern w:val="24"/>
                <w:sz w:val="18"/>
                <w:szCs w:val="18"/>
              </w:rPr>
            </w:pPr>
            <w:r w:rsidRPr="0026380B">
              <w:rPr>
                <w:rFonts w:ascii="Arial" w:hAnsi="Arial" w:cs="Arial"/>
                <w:color w:val="000000" w:themeColor="text1"/>
                <w:kern w:val="24"/>
                <w:sz w:val="18"/>
                <w:szCs w:val="18"/>
              </w:rPr>
              <w:t>3</w:t>
            </w:r>
          </w:p>
        </w:tc>
        <w:tc>
          <w:tcPr>
            <w:tcW w:w="887" w:type="dxa"/>
          </w:tcPr>
          <w:p w14:paraId="055A1D46" w14:textId="77777777" w:rsidR="009354E6" w:rsidRPr="0026380B" w:rsidRDefault="009354E6" w:rsidP="003545DA">
            <w:pPr>
              <w:tabs>
                <w:tab w:val="num" w:pos="2160"/>
              </w:tabs>
              <w:rPr>
                <w:rFonts w:ascii="Arial" w:hAnsi="Arial" w:cs="Arial"/>
                <w:color w:val="000000" w:themeColor="text1"/>
                <w:kern w:val="24"/>
                <w:sz w:val="18"/>
                <w:szCs w:val="18"/>
              </w:rPr>
            </w:pPr>
            <w:r w:rsidRPr="0026380B">
              <w:rPr>
                <w:rFonts w:ascii="Arial" w:hAnsi="Arial" w:cs="Arial"/>
                <w:color w:val="000000" w:themeColor="text1"/>
                <w:kern w:val="24"/>
                <w:sz w:val="18"/>
                <w:szCs w:val="18"/>
              </w:rPr>
              <w:t>4</w:t>
            </w:r>
          </w:p>
        </w:tc>
        <w:tc>
          <w:tcPr>
            <w:tcW w:w="887" w:type="dxa"/>
          </w:tcPr>
          <w:p w14:paraId="6D21BF13" w14:textId="77777777" w:rsidR="009354E6" w:rsidRPr="0026380B" w:rsidRDefault="009354E6" w:rsidP="003545DA">
            <w:pPr>
              <w:tabs>
                <w:tab w:val="num" w:pos="2160"/>
              </w:tabs>
              <w:rPr>
                <w:rFonts w:ascii="Arial" w:hAnsi="Arial" w:cs="Arial"/>
                <w:color w:val="000000" w:themeColor="text1"/>
                <w:kern w:val="24"/>
                <w:sz w:val="18"/>
                <w:szCs w:val="18"/>
              </w:rPr>
            </w:pPr>
            <w:r w:rsidRPr="0026380B">
              <w:rPr>
                <w:rFonts w:ascii="Arial" w:hAnsi="Arial" w:cs="Arial"/>
                <w:color w:val="000000" w:themeColor="text1"/>
                <w:kern w:val="24"/>
                <w:sz w:val="18"/>
                <w:szCs w:val="18"/>
              </w:rPr>
              <w:t>5</w:t>
            </w:r>
          </w:p>
        </w:tc>
        <w:tc>
          <w:tcPr>
            <w:tcW w:w="887" w:type="dxa"/>
          </w:tcPr>
          <w:p w14:paraId="42AC2208" w14:textId="77777777" w:rsidR="009354E6" w:rsidRPr="0026380B" w:rsidRDefault="009354E6" w:rsidP="003545DA">
            <w:pPr>
              <w:tabs>
                <w:tab w:val="num" w:pos="2160"/>
              </w:tabs>
              <w:rPr>
                <w:rFonts w:ascii="Arial" w:hAnsi="Arial" w:cs="Arial"/>
                <w:color w:val="000000" w:themeColor="text1"/>
                <w:kern w:val="24"/>
                <w:sz w:val="18"/>
                <w:szCs w:val="18"/>
              </w:rPr>
            </w:pPr>
            <w:r w:rsidRPr="0026380B">
              <w:rPr>
                <w:rFonts w:ascii="Arial" w:hAnsi="Arial" w:cs="Arial"/>
                <w:color w:val="000000" w:themeColor="text1"/>
                <w:kern w:val="24"/>
                <w:sz w:val="18"/>
                <w:szCs w:val="18"/>
              </w:rPr>
              <w:t>6</w:t>
            </w:r>
          </w:p>
        </w:tc>
      </w:tr>
      <w:tr w:rsidR="009354E6" w14:paraId="100D389F" w14:textId="77777777" w:rsidTr="003545DA">
        <w:tc>
          <w:tcPr>
            <w:tcW w:w="3060" w:type="dxa"/>
          </w:tcPr>
          <w:p w14:paraId="4EDF9AFE" w14:textId="77777777" w:rsidR="009354E6" w:rsidRPr="0026380B" w:rsidRDefault="009354E6" w:rsidP="003545DA">
            <w:pPr>
              <w:tabs>
                <w:tab w:val="num" w:pos="2160"/>
              </w:tabs>
              <w:rPr>
                <w:rFonts w:ascii="Arial" w:hAnsi="Arial" w:cs="Arial"/>
                <w:color w:val="000000" w:themeColor="text1"/>
                <w:kern w:val="24"/>
                <w:sz w:val="18"/>
                <w:szCs w:val="18"/>
              </w:rPr>
            </w:pPr>
            <w:r w:rsidRPr="0026380B">
              <w:rPr>
                <w:rFonts w:ascii="Arial" w:hAnsi="Arial" w:cs="Arial"/>
                <w:color w:val="000000" w:themeColor="text1"/>
                <w:kern w:val="24"/>
                <w:sz w:val="18"/>
                <w:szCs w:val="18"/>
              </w:rPr>
              <w:t>Slots number X</w:t>
            </w:r>
          </w:p>
        </w:tc>
        <w:tc>
          <w:tcPr>
            <w:tcW w:w="887" w:type="dxa"/>
          </w:tcPr>
          <w:p w14:paraId="7349E374" w14:textId="77777777" w:rsidR="009354E6" w:rsidRPr="0026380B" w:rsidRDefault="009354E6" w:rsidP="003545DA">
            <w:pPr>
              <w:tabs>
                <w:tab w:val="num" w:pos="2160"/>
              </w:tabs>
              <w:rPr>
                <w:rFonts w:ascii="Arial" w:hAnsi="Arial" w:cs="Arial"/>
                <w:color w:val="000000" w:themeColor="text1"/>
                <w:kern w:val="24"/>
                <w:sz w:val="18"/>
                <w:szCs w:val="18"/>
              </w:rPr>
            </w:pPr>
            <w:r w:rsidRPr="0026380B">
              <w:rPr>
                <w:rFonts w:ascii="Arial" w:hAnsi="Arial" w:cs="Arial"/>
                <w:color w:val="000000" w:themeColor="text1"/>
                <w:kern w:val="24"/>
                <w:sz w:val="18"/>
                <w:szCs w:val="18"/>
              </w:rPr>
              <w:t>0</w:t>
            </w:r>
          </w:p>
        </w:tc>
        <w:tc>
          <w:tcPr>
            <w:tcW w:w="887" w:type="dxa"/>
          </w:tcPr>
          <w:p w14:paraId="74A7C988" w14:textId="77777777" w:rsidR="009354E6" w:rsidRPr="0026380B" w:rsidRDefault="009354E6" w:rsidP="003545DA">
            <w:pPr>
              <w:tabs>
                <w:tab w:val="num" w:pos="2160"/>
              </w:tabs>
              <w:rPr>
                <w:rFonts w:ascii="Arial" w:hAnsi="Arial" w:cs="Arial"/>
                <w:color w:val="000000" w:themeColor="text1"/>
                <w:kern w:val="24"/>
                <w:sz w:val="18"/>
                <w:szCs w:val="18"/>
              </w:rPr>
            </w:pPr>
            <w:r w:rsidRPr="0026380B">
              <w:rPr>
                <w:rFonts w:ascii="Arial" w:hAnsi="Arial" w:cs="Arial"/>
                <w:color w:val="000000" w:themeColor="text1"/>
                <w:kern w:val="24"/>
                <w:sz w:val="18"/>
                <w:szCs w:val="18"/>
              </w:rPr>
              <w:t>1</w:t>
            </w:r>
          </w:p>
        </w:tc>
        <w:tc>
          <w:tcPr>
            <w:tcW w:w="887" w:type="dxa"/>
          </w:tcPr>
          <w:p w14:paraId="63EB51ED" w14:textId="77777777" w:rsidR="009354E6" w:rsidRPr="0026380B" w:rsidRDefault="009354E6" w:rsidP="003545DA">
            <w:pPr>
              <w:tabs>
                <w:tab w:val="num" w:pos="2160"/>
              </w:tabs>
              <w:rPr>
                <w:rFonts w:ascii="Arial" w:hAnsi="Arial" w:cs="Arial"/>
                <w:color w:val="000000" w:themeColor="text1"/>
                <w:kern w:val="24"/>
                <w:sz w:val="18"/>
                <w:szCs w:val="18"/>
              </w:rPr>
            </w:pPr>
            <w:r w:rsidRPr="0026380B">
              <w:rPr>
                <w:rFonts w:ascii="Arial" w:hAnsi="Arial" w:cs="Arial"/>
                <w:color w:val="000000" w:themeColor="text1"/>
                <w:kern w:val="24"/>
                <w:sz w:val="18"/>
                <w:szCs w:val="18"/>
              </w:rPr>
              <w:t>2</w:t>
            </w:r>
          </w:p>
        </w:tc>
        <w:tc>
          <w:tcPr>
            <w:tcW w:w="887" w:type="dxa"/>
          </w:tcPr>
          <w:p w14:paraId="55B2E41D" w14:textId="77777777" w:rsidR="009354E6" w:rsidRPr="0026380B" w:rsidRDefault="009354E6" w:rsidP="003545DA">
            <w:pPr>
              <w:tabs>
                <w:tab w:val="num" w:pos="2160"/>
              </w:tabs>
              <w:rPr>
                <w:rFonts w:ascii="Arial" w:hAnsi="Arial" w:cs="Arial"/>
                <w:color w:val="000000" w:themeColor="text1"/>
                <w:kern w:val="24"/>
                <w:sz w:val="18"/>
                <w:szCs w:val="18"/>
              </w:rPr>
            </w:pPr>
            <w:r w:rsidRPr="0026380B">
              <w:rPr>
                <w:rFonts w:ascii="Arial" w:hAnsi="Arial" w:cs="Arial"/>
                <w:color w:val="000000" w:themeColor="text1"/>
                <w:kern w:val="24"/>
                <w:sz w:val="18"/>
                <w:szCs w:val="18"/>
              </w:rPr>
              <w:t>3</w:t>
            </w:r>
          </w:p>
        </w:tc>
        <w:tc>
          <w:tcPr>
            <w:tcW w:w="887" w:type="dxa"/>
          </w:tcPr>
          <w:p w14:paraId="4AE5FF68" w14:textId="77777777" w:rsidR="009354E6" w:rsidRPr="0026380B" w:rsidRDefault="009354E6" w:rsidP="003545DA">
            <w:pPr>
              <w:tabs>
                <w:tab w:val="num" w:pos="2160"/>
              </w:tabs>
              <w:rPr>
                <w:rFonts w:ascii="Arial" w:hAnsi="Arial" w:cs="Arial"/>
                <w:color w:val="000000" w:themeColor="text1"/>
                <w:kern w:val="24"/>
                <w:sz w:val="18"/>
                <w:szCs w:val="18"/>
              </w:rPr>
            </w:pPr>
            <w:r w:rsidRPr="0026380B">
              <w:rPr>
                <w:rFonts w:ascii="Arial" w:hAnsi="Arial" w:cs="Arial"/>
                <w:color w:val="000000" w:themeColor="text1"/>
                <w:kern w:val="24"/>
                <w:sz w:val="18"/>
                <w:szCs w:val="18"/>
              </w:rPr>
              <w:t>4</w:t>
            </w:r>
          </w:p>
        </w:tc>
        <w:tc>
          <w:tcPr>
            <w:tcW w:w="887" w:type="dxa"/>
          </w:tcPr>
          <w:p w14:paraId="74840E92" w14:textId="77777777" w:rsidR="009354E6" w:rsidRPr="0026380B" w:rsidRDefault="009354E6" w:rsidP="003545DA">
            <w:pPr>
              <w:tabs>
                <w:tab w:val="num" w:pos="2160"/>
              </w:tabs>
              <w:rPr>
                <w:rFonts w:ascii="Arial" w:hAnsi="Arial" w:cs="Arial"/>
                <w:color w:val="000000" w:themeColor="text1"/>
                <w:kern w:val="24"/>
                <w:sz w:val="18"/>
                <w:szCs w:val="18"/>
              </w:rPr>
            </w:pPr>
            <w:r w:rsidRPr="0026380B">
              <w:rPr>
                <w:rFonts w:ascii="Arial" w:hAnsi="Arial" w:cs="Arial"/>
                <w:color w:val="000000" w:themeColor="text1"/>
                <w:kern w:val="24"/>
                <w:sz w:val="18"/>
                <w:szCs w:val="18"/>
              </w:rPr>
              <w:t>16</w:t>
            </w:r>
          </w:p>
        </w:tc>
        <w:tc>
          <w:tcPr>
            <w:tcW w:w="887" w:type="dxa"/>
          </w:tcPr>
          <w:p w14:paraId="092FF66C" w14:textId="77777777" w:rsidR="009354E6" w:rsidRPr="0026380B" w:rsidRDefault="009354E6" w:rsidP="003545DA">
            <w:pPr>
              <w:tabs>
                <w:tab w:val="num" w:pos="2160"/>
              </w:tabs>
              <w:rPr>
                <w:rFonts w:ascii="Arial" w:hAnsi="Arial" w:cs="Arial"/>
                <w:color w:val="000000" w:themeColor="text1"/>
                <w:kern w:val="24"/>
                <w:sz w:val="18"/>
                <w:szCs w:val="18"/>
              </w:rPr>
            </w:pPr>
            <w:r w:rsidRPr="0026380B">
              <w:rPr>
                <w:rFonts w:ascii="Arial" w:hAnsi="Arial" w:cs="Arial"/>
                <w:color w:val="000000" w:themeColor="text1"/>
                <w:kern w:val="24"/>
                <w:sz w:val="18"/>
                <w:szCs w:val="18"/>
              </w:rPr>
              <w:t>24</w:t>
            </w:r>
          </w:p>
        </w:tc>
      </w:tr>
    </w:tbl>
    <w:p w14:paraId="6641E5C1" w14:textId="77777777" w:rsidR="009354E6" w:rsidRPr="0026380B" w:rsidRDefault="009354E6" w:rsidP="009354E6">
      <w:pPr>
        <w:tabs>
          <w:tab w:val="num" w:pos="2160"/>
        </w:tabs>
        <w:ind w:left="360"/>
        <w:rPr>
          <w:rFonts w:ascii="Arial" w:hAnsi="Arial" w:cs="Arial"/>
        </w:rPr>
      </w:pPr>
    </w:p>
    <w:p w14:paraId="09180D96" w14:textId="38DE61D2" w:rsidR="009354E6" w:rsidRPr="0026380B" w:rsidRDefault="009354E6" w:rsidP="009354E6">
      <w:pPr>
        <w:pStyle w:val="af2"/>
        <w:rPr>
          <w:rFonts w:ascii="Arial" w:hAnsi="Arial" w:cs="Arial"/>
          <w:i/>
          <w:sz w:val="22"/>
          <w:szCs w:val="22"/>
        </w:rPr>
      </w:pPr>
      <w:bookmarkStart w:id="10" w:name="_Ref20862188"/>
      <w:r>
        <w:rPr>
          <w:rFonts w:ascii="Arial" w:hAnsi="Arial" w:cs="Arial"/>
          <w:i/>
          <w:sz w:val="22"/>
          <w:szCs w:val="22"/>
          <w:u w:val="single"/>
        </w:rPr>
        <w:t>Proposal 17</w:t>
      </w:r>
      <w:r w:rsidRPr="00473ACB">
        <w:rPr>
          <w:rFonts w:ascii="Arial" w:hAnsi="Arial" w:cs="Arial"/>
          <w:i/>
          <w:sz w:val="22"/>
          <w:szCs w:val="22"/>
          <w:u w:val="single"/>
        </w:rPr>
        <w:t>:</w:t>
      </w:r>
      <w:r w:rsidRPr="0026380B">
        <w:rPr>
          <w:rFonts w:ascii="Arial" w:hAnsi="Arial" w:cs="Arial"/>
          <w:i/>
          <w:sz w:val="22"/>
          <w:szCs w:val="22"/>
        </w:rPr>
        <w:t xml:space="preserve"> To facilitate the implementation of DCI triggered temporary RS, longer </w:t>
      </w:r>
      <w:r w:rsidRPr="00142017">
        <w:rPr>
          <w:rFonts w:ascii="Arial" w:hAnsi="Arial" w:cs="Arial"/>
          <w:i/>
          <w:sz w:val="22"/>
          <w:szCs w:val="22"/>
        </w:rPr>
        <w:t xml:space="preserve">aperiodicTriggeringOffset </w:t>
      </w:r>
      <w:r w:rsidRPr="0026380B">
        <w:rPr>
          <w:rFonts w:ascii="Arial" w:hAnsi="Arial" w:cs="Arial"/>
          <w:i/>
          <w:sz w:val="22"/>
          <w:szCs w:val="22"/>
        </w:rPr>
        <w:t xml:space="preserve">is needed to cover the case </w:t>
      </w:r>
      <w:r w:rsidRPr="00473ACB">
        <w:rPr>
          <w:rFonts w:ascii="Arial" w:hAnsi="Arial" w:cs="Arial"/>
          <w:i/>
          <w:sz w:val="22"/>
          <w:szCs w:val="22"/>
          <w:highlight w:val="yellow"/>
        </w:rPr>
        <w:t>activated known SCell</w:t>
      </w:r>
      <w:r w:rsidRPr="0026380B">
        <w:rPr>
          <w:rFonts w:ascii="Arial" w:hAnsi="Arial" w:cs="Arial"/>
          <w:i/>
          <w:sz w:val="22"/>
          <w:szCs w:val="22"/>
        </w:rPr>
        <w:t xml:space="preserve"> belongs to FR2 with no active serving cell on the same band.</w:t>
      </w:r>
      <w:r>
        <w:rPr>
          <w:rFonts w:ascii="Arial" w:hAnsi="Arial" w:cs="Arial"/>
          <w:i/>
          <w:sz w:val="22"/>
          <w:szCs w:val="22"/>
        </w:rPr>
        <w:t xml:space="preserve"> </w:t>
      </w:r>
      <w:r w:rsidRPr="009252DE">
        <w:rPr>
          <w:rFonts w:ascii="Arial" w:hAnsi="Arial" w:cs="Arial"/>
          <w:i/>
          <w:sz w:val="22"/>
          <w:szCs w:val="22"/>
        </w:rPr>
        <w:t xml:space="preserve">The range of the IE </w:t>
      </w:r>
      <w:r w:rsidRPr="009252DE">
        <w:rPr>
          <w:rFonts w:ascii="Arial" w:hAnsi="Arial" w:cs="Arial"/>
          <w:i/>
          <w:sz w:val="22"/>
          <w:szCs w:val="22"/>
        </w:rPr>
        <w:lastRenderedPageBreak/>
        <w:t>aperiodicTriggeringOffset would need to be enlarged from current spec or a new IE aperiodicTriggeringOffsetTRS needs to be defined.</w:t>
      </w:r>
      <w:r w:rsidRPr="0026380B">
        <w:rPr>
          <w:rFonts w:ascii="Arial" w:hAnsi="Arial" w:cs="Arial"/>
          <w:i/>
          <w:sz w:val="22"/>
          <w:szCs w:val="22"/>
        </w:rPr>
        <w:t xml:space="preserve"> </w:t>
      </w:r>
      <w:bookmarkEnd w:id="10"/>
    </w:p>
    <w:p w14:paraId="7ACDD941" w14:textId="36F903DB" w:rsidR="009354E6" w:rsidRDefault="009354E6" w:rsidP="009354E6">
      <w:pPr>
        <w:rPr>
          <w:rFonts w:ascii="Arial" w:hAnsi="Arial" w:cs="Arial"/>
        </w:rPr>
      </w:pPr>
      <w:r>
        <w:rPr>
          <w:rFonts w:ascii="Arial" w:hAnsi="Arial" w:cs="Arial"/>
        </w:rPr>
        <w:t xml:space="preserve">With the SCell activation time evaluated above, the </w:t>
      </w:r>
      <w:r>
        <w:rPr>
          <w:rFonts w:ascii="Arial" w:hAnsi="Arial" w:cs="Arial"/>
          <w:i/>
        </w:rPr>
        <w:t xml:space="preserve">IE </w:t>
      </w:r>
      <w:r w:rsidRPr="00473ACB">
        <w:rPr>
          <w:rFonts w:ascii="Arial" w:hAnsi="Arial" w:cs="Arial"/>
          <w:b/>
          <w:i/>
        </w:rPr>
        <w:t>aperiodicTriggeringOffset</w:t>
      </w:r>
      <w:r>
        <w:rPr>
          <w:rFonts w:ascii="Arial" w:hAnsi="Arial" w:cs="Arial"/>
        </w:rPr>
        <w:t xml:space="preserve"> may need to be extended to a very large value which is not allowed in current spec. Another solution is to transmit the TRS triggering DCI after the interruption period of PCell as shown below in Figure 2:</w:t>
      </w:r>
    </w:p>
    <w:p w14:paraId="4614816F" w14:textId="77777777" w:rsidR="009354E6" w:rsidRDefault="009354E6" w:rsidP="009354E6">
      <w:pPr>
        <w:rPr>
          <w:rFonts w:ascii="Arial" w:hAnsi="Arial" w:cs="Arial"/>
        </w:rPr>
      </w:pPr>
      <w:r>
        <w:rPr>
          <w:rFonts w:ascii="Arial" w:hAnsi="Arial" w:cs="Arial"/>
          <w:noProof/>
          <w:lang w:eastAsia="zh-CN"/>
        </w:rPr>
        <w:drawing>
          <wp:inline distT="0" distB="0" distL="0" distR="0" wp14:anchorId="7C7C023D" wp14:editId="3C6EE7A7">
            <wp:extent cx="6115050" cy="3194050"/>
            <wp:effectExtent l="0" t="0" r="0" b="6350"/>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15050" cy="3194050"/>
                    </a:xfrm>
                    <a:prstGeom prst="rect">
                      <a:avLst/>
                    </a:prstGeom>
                    <a:noFill/>
                    <a:ln>
                      <a:noFill/>
                    </a:ln>
                  </pic:spPr>
                </pic:pic>
              </a:graphicData>
            </a:graphic>
          </wp:inline>
        </w:drawing>
      </w:r>
    </w:p>
    <w:p w14:paraId="1BB64BAE" w14:textId="7DB8ECC7" w:rsidR="009354E6" w:rsidRPr="00473ACB" w:rsidRDefault="009354E6" w:rsidP="009354E6">
      <w:pPr>
        <w:jc w:val="center"/>
        <w:rPr>
          <w:rFonts w:ascii="Arial" w:hAnsi="Arial" w:cs="Arial"/>
          <w:b/>
        </w:rPr>
      </w:pPr>
      <w:r>
        <w:rPr>
          <w:rFonts w:ascii="Arial" w:hAnsi="Arial" w:cs="Arial"/>
          <w:b/>
        </w:rPr>
        <w:t>Figure 2</w:t>
      </w:r>
      <w:r w:rsidRPr="00473ACB">
        <w:rPr>
          <w:rFonts w:ascii="Arial" w:hAnsi="Arial" w:cs="Arial"/>
          <w:b/>
        </w:rPr>
        <w:t>: NW transmit the TRS triggering DCI after the interruption period of PCell</w:t>
      </w:r>
    </w:p>
    <w:p w14:paraId="2E89046F" w14:textId="4D6D9A32" w:rsidR="009354E6" w:rsidRDefault="009354E6" w:rsidP="009354E6">
      <w:pPr>
        <w:pStyle w:val="af2"/>
        <w:rPr>
          <w:rFonts w:ascii="Arial" w:hAnsi="Arial" w:cs="Arial"/>
          <w:i/>
          <w:sz w:val="22"/>
          <w:szCs w:val="22"/>
        </w:rPr>
      </w:pPr>
      <w:r>
        <w:rPr>
          <w:rFonts w:ascii="Arial" w:hAnsi="Arial" w:cs="Arial"/>
          <w:i/>
          <w:sz w:val="22"/>
          <w:szCs w:val="22"/>
          <w:u w:val="single"/>
        </w:rPr>
        <w:t>Proposal 18</w:t>
      </w:r>
      <w:r w:rsidRPr="009252DE">
        <w:rPr>
          <w:rFonts w:ascii="Arial" w:hAnsi="Arial" w:cs="Arial"/>
          <w:i/>
          <w:sz w:val="22"/>
          <w:szCs w:val="22"/>
          <w:u w:val="single"/>
        </w:rPr>
        <w:t>:</w:t>
      </w:r>
      <w:r w:rsidRPr="009252DE">
        <w:rPr>
          <w:rFonts w:ascii="Arial" w:hAnsi="Arial" w:cs="Arial"/>
          <w:i/>
          <w:sz w:val="22"/>
          <w:szCs w:val="22"/>
        </w:rPr>
        <w:t xml:space="preserve"> To avoid changing current spec for the range of the IE aperiodicTriggeringOffset, NW can transmit the TRS triggering DCI after the interruption period of PCell.</w:t>
      </w:r>
    </w:p>
    <w:p w14:paraId="00C142AA" w14:textId="77777777" w:rsidR="009354E6" w:rsidRPr="009354E6" w:rsidRDefault="009354E6" w:rsidP="009354E6"/>
    <w:p w14:paraId="597BDFFA" w14:textId="77777777" w:rsidR="009354E6" w:rsidRDefault="009354E6" w:rsidP="009354E6">
      <w:pPr>
        <w:rPr>
          <w:rFonts w:ascii="Arial" w:hAnsi="Arial" w:cs="Arial"/>
        </w:rPr>
      </w:pPr>
      <w:r>
        <w:rPr>
          <w:rFonts w:ascii="Arial" w:hAnsi="Arial" w:cs="Arial"/>
        </w:rPr>
        <w:t xml:space="preserve">One thing we would like to </w:t>
      </w:r>
      <w:r w:rsidRPr="00530688">
        <w:rPr>
          <w:rFonts w:ascii="Arial" w:hAnsi="Arial" w:cs="Arial"/>
        </w:rPr>
        <w:t xml:space="preserve">emphasize </w:t>
      </w:r>
      <w:r>
        <w:rPr>
          <w:rFonts w:ascii="Arial" w:hAnsi="Arial" w:cs="Arial"/>
        </w:rPr>
        <w:t>is that UE can’t refer rough Tx beam</w:t>
      </w:r>
      <w:r>
        <w:rPr>
          <w:rFonts w:ascii="Arial" w:hAnsi="Arial" w:cs="Arial" w:hint="eastAsia"/>
        </w:rPr>
        <w:t xml:space="preserve"> AGC gain </w:t>
      </w:r>
      <w:r>
        <w:rPr>
          <w:rFonts w:ascii="Arial" w:hAnsi="Arial" w:cs="Arial"/>
        </w:rPr>
        <w:t xml:space="preserve">to set the fine Tx beam AGC gain. This problem causes Network needs to send more temporary RS/CSI-RS to UE. From UE perspective, if Network can use an indication to inform UE that the received RE powers of temporary RS/CSI-RS and PSS/SSS are the same. This issue may be resolved. </w:t>
      </w:r>
    </w:p>
    <w:p w14:paraId="0B7410A1" w14:textId="25A99A4C" w:rsidR="009354E6" w:rsidRPr="009354E6" w:rsidRDefault="009354E6" w:rsidP="009354E6">
      <w:pPr>
        <w:pStyle w:val="af2"/>
        <w:rPr>
          <w:rFonts w:ascii="Arial" w:hAnsi="Arial" w:cs="Arial"/>
          <w:i/>
          <w:sz w:val="22"/>
          <w:szCs w:val="22"/>
        </w:rPr>
      </w:pPr>
      <w:bookmarkStart w:id="11" w:name="_Ref20862191"/>
      <w:r>
        <w:rPr>
          <w:rFonts w:ascii="Arial" w:hAnsi="Arial" w:cs="Arial"/>
          <w:i/>
          <w:sz w:val="22"/>
          <w:szCs w:val="22"/>
          <w:u w:val="single"/>
        </w:rPr>
        <w:t>Proposal 19</w:t>
      </w:r>
      <w:r w:rsidRPr="00473ACB">
        <w:rPr>
          <w:rFonts w:ascii="Arial" w:hAnsi="Arial" w:cs="Arial"/>
          <w:i/>
          <w:sz w:val="22"/>
          <w:szCs w:val="22"/>
          <w:u w:val="single"/>
        </w:rPr>
        <w:t>:</w:t>
      </w:r>
      <w:r w:rsidRPr="0026380B">
        <w:rPr>
          <w:rFonts w:ascii="Arial" w:hAnsi="Arial" w:cs="Arial"/>
          <w:i/>
          <w:sz w:val="22"/>
          <w:szCs w:val="22"/>
        </w:rPr>
        <w:t xml:space="preserve"> </w:t>
      </w:r>
      <w:r w:rsidRPr="000F7B73">
        <w:rPr>
          <w:rFonts w:ascii="Arial" w:hAnsi="Arial" w:cs="Arial"/>
          <w:i/>
          <w:sz w:val="22"/>
          <w:szCs w:val="22"/>
        </w:rPr>
        <w:t>If Network can send an indication to inform UE that the RE powers of temporary RS</w:t>
      </w:r>
      <w:r>
        <w:rPr>
          <w:rFonts w:ascii="Arial" w:hAnsi="Arial" w:cs="Arial"/>
          <w:i/>
          <w:sz w:val="22"/>
          <w:szCs w:val="22"/>
        </w:rPr>
        <w:t>/CSI-RS</w:t>
      </w:r>
      <w:r w:rsidRPr="000F7B73">
        <w:rPr>
          <w:rFonts w:ascii="Arial" w:hAnsi="Arial" w:cs="Arial"/>
          <w:i/>
          <w:sz w:val="22"/>
          <w:szCs w:val="22"/>
        </w:rPr>
        <w:t xml:space="preserve"> and SSB are the same, no extra temporary RS</w:t>
      </w:r>
      <w:r>
        <w:rPr>
          <w:rFonts w:ascii="Arial" w:hAnsi="Arial" w:cs="Arial"/>
          <w:i/>
          <w:sz w:val="22"/>
          <w:szCs w:val="22"/>
        </w:rPr>
        <w:t xml:space="preserve">/ CSI-RS </w:t>
      </w:r>
      <w:r w:rsidRPr="000F7B73">
        <w:rPr>
          <w:rFonts w:ascii="Arial" w:hAnsi="Arial" w:cs="Arial"/>
          <w:i/>
          <w:sz w:val="22"/>
          <w:szCs w:val="22"/>
        </w:rPr>
        <w:t xml:space="preserve">is needed </w:t>
      </w:r>
      <w:r>
        <w:rPr>
          <w:rFonts w:ascii="Arial" w:hAnsi="Arial" w:cs="Arial"/>
          <w:i/>
          <w:sz w:val="22"/>
          <w:szCs w:val="22"/>
        </w:rPr>
        <w:t xml:space="preserve">for UE </w:t>
      </w:r>
      <w:r w:rsidRPr="000F7B73">
        <w:rPr>
          <w:rFonts w:ascii="Arial" w:hAnsi="Arial" w:cs="Arial"/>
          <w:i/>
          <w:sz w:val="22"/>
          <w:szCs w:val="22"/>
        </w:rPr>
        <w:t>to tune the fine beam AGC gain.</w:t>
      </w:r>
      <w:bookmarkEnd w:id="11"/>
    </w:p>
    <w:p w14:paraId="00BCBDC6" w14:textId="77777777" w:rsidR="00826700" w:rsidRDefault="00826700" w:rsidP="00F116B8">
      <w:pPr>
        <w:rPr>
          <w:rFonts w:ascii="Arial" w:hAnsi="Arial" w:cs="Arial"/>
          <w:lang w:val="en-GB"/>
        </w:rPr>
      </w:pPr>
    </w:p>
    <w:bookmarkEnd w:id="0"/>
    <w:bookmarkEnd w:id="1"/>
    <w:bookmarkEnd w:id="2"/>
    <w:bookmarkEnd w:id="3"/>
    <w:bookmarkEnd w:id="4"/>
    <w:bookmarkEnd w:id="5"/>
    <w:p w14:paraId="3D0DE51E" w14:textId="033BDDBE" w:rsidR="00B0627C" w:rsidRPr="009F29FB" w:rsidRDefault="00492080" w:rsidP="00B0627C">
      <w:pPr>
        <w:pStyle w:val="1"/>
        <w:jc w:val="both"/>
        <w:rPr>
          <w:rFonts w:cs="Arial"/>
          <w:color w:val="000000" w:themeColor="text1"/>
        </w:rPr>
      </w:pPr>
      <w:r>
        <w:rPr>
          <w:rFonts w:eastAsia="新細明體" w:cs="Arial"/>
          <w:color w:val="000000" w:themeColor="text1"/>
          <w:lang w:eastAsia="zh-TW"/>
        </w:rPr>
        <w:lastRenderedPageBreak/>
        <w:t>4</w:t>
      </w:r>
      <w:r w:rsidR="00B0627C" w:rsidRPr="009F29FB">
        <w:rPr>
          <w:rFonts w:cs="Arial"/>
          <w:color w:val="000000" w:themeColor="text1"/>
        </w:rPr>
        <w:tab/>
      </w:r>
      <w:r w:rsidR="00B0627C" w:rsidRPr="009F29FB">
        <w:rPr>
          <w:rFonts w:eastAsia="新細明體" w:cs="Arial"/>
          <w:color w:val="000000" w:themeColor="text1"/>
          <w:lang w:eastAsia="zh-TW"/>
        </w:rPr>
        <w:t>Summary</w:t>
      </w:r>
      <w:r w:rsidR="00B0627C" w:rsidRPr="009F29FB">
        <w:rPr>
          <w:rFonts w:cs="Arial"/>
          <w:color w:val="000000" w:themeColor="text1"/>
        </w:rPr>
        <w:t xml:space="preserve"> </w:t>
      </w:r>
    </w:p>
    <w:p w14:paraId="591B93A0" w14:textId="10512B02" w:rsidR="00B0627C" w:rsidRDefault="009252DE" w:rsidP="00B0627C">
      <w:pPr>
        <w:pStyle w:val="TAL"/>
        <w:jc w:val="both"/>
        <w:rPr>
          <w:rFonts w:cs="Arial"/>
          <w:sz w:val="24"/>
        </w:rPr>
      </w:pPr>
      <w:r w:rsidRPr="004F6B7E">
        <w:rPr>
          <w:rFonts w:cs="Arial"/>
          <w:sz w:val="24"/>
        </w:rPr>
        <w:t>In this contribution</w:t>
      </w:r>
      <w:r>
        <w:rPr>
          <w:rFonts w:cs="Arial"/>
          <w:sz w:val="24"/>
        </w:rPr>
        <w:t>, we have the following observations and proposals:</w:t>
      </w:r>
    </w:p>
    <w:p w14:paraId="51D34672" w14:textId="77777777" w:rsidR="00804657" w:rsidRPr="00887DB4" w:rsidRDefault="00804657" w:rsidP="00804657">
      <w:pPr>
        <w:pStyle w:val="Doc-text2"/>
        <w:tabs>
          <w:tab w:val="left" w:pos="340"/>
        </w:tabs>
        <w:spacing w:before="120" w:after="120"/>
        <w:ind w:left="0" w:firstLine="0"/>
        <w:jc w:val="both"/>
        <w:rPr>
          <w:rFonts w:cs="Arial"/>
          <w:b/>
          <w:sz w:val="22"/>
          <w:shd w:val="clear" w:color="auto" w:fill="FFFFFF"/>
        </w:rPr>
      </w:pPr>
      <w:r w:rsidRPr="00887DB4">
        <w:rPr>
          <w:rFonts w:cs="Arial"/>
          <w:b/>
          <w:sz w:val="22"/>
          <w:u w:val="single"/>
          <w:shd w:val="clear" w:color="auto" w:fill="FFFFFF"/>
        </w:rPr>
        <w:t>Proposal 1:</w:t>
      </w:r>
      <w:r w:rsidRPr="00887DB4">
        <w:rPr>
          <w:b/>
          <w:sz w:val="22"/>
        </w:rPr>
        <w:t xml:space="preserve"> </w:t>
      </w:r>
      <w:r w:rsidRPr="00E80035">
        <w:rPr>
          <w:rFonts w:cs="Arial"/>
          <w:b/>
          <w:sz w:val="22"/>
          <w:shd w:val="clear" w:color="auto" w:fill="FFFFFF"/>
        </w:rPr>
        <w:t>NW indicates the BWP ID</w:t>
      </w:r>
      <w:r>
        <w:rPr>
          <w:rFonts w:cs="Arial"/>
          <w:b/>
          <w:sz w:val="22"/>
          <w:shd w:val="clear" w:color="auto" w:fill="FFFFFF"/>
        </w:rPr>
        <w:t xml:space="preserve"> per SCell</w:t>
      </w:r>
      <w:r w:rsidRPr="00E80035">
        <w:rPr>
          <w:rFonts w:cs="Arial"/>
          <w:b/>
          <w:sz w:val="22"/>
          <w:shd w:val="clear" w:color="auto" w:fill="FFFFFF"/>
        </w:rPr>
        <w:t xml:space="preserve"> for dormancy behavior through an optional RRC IE</w:t>
      </w:r>
      <w:r>
        <w:rPr>
          <w:rFonts w:cs="Arial"/>
          <w:b/>
          <w:sz w:val="22"/>
          <w:shd w:val="clear" w:color="auto" w:fill="FFFFFF"/>
        </w:rPr>
        <w:t>, ex. Scell-bwp-id-with-dormancy</w:t>
      </w:r>
      <w:r w:rsidRPr="00E80035">
        <w:rPr>
          <w:rFonts w:cs="Arial"/>
          <w:b/>
          <w:sz w:val="22"/>
          <w:shd w:val="clear" w:color="auto" w:fill="FFFFFF"/>
        </w:rPr>
        <w:t xml:space="preserve">. </w:t>
      </w:r>
      <w:r w:rsidRPr="00E80035">
        <w:rPr>
          <w:rFonts w:eastAsiaTheme="minorEastAsia" w:cs="Arial"/>
          <w:b/>
          <w:sz w:val="22"/>
          <w:lang w:eastAsia="zh-TW"/>
        </w:rPr>
        <w:t>For a BWP with dormancy behavior, UE expects the following:</w:t>
      </w:r>
    </w:p>
    <w:p w14:paraId="31425191" w14:textId="77777777" w:rsidR="00804657" w:rsidRPr="00BD3E6E" w:rsidRDefault="00804657" w:rsidP="00804657">
      <w:pPr>
        <w:pStyle w:val="Doc-text2"/>
        <w:numPr>
          <w:ilvl w:val="0"/>
          <w:numId w:val="38"/>
        </w:numPr>
        <w:tabs>
          <w:tab w:val="left" w:pos="340"/>
        </w:tabs>
        <w:spacing w:before="120" w:after="120"/>
        <w:jc w:val="both"/>
        <w:rPr>
          <w:rFonts w:eastAsiaTheme="minorEastAsia" w:cs="Arial"/>
          <w:b/>
          <w:sz w:val="22"/>
          <w:lang w:eastAsia="zh-TW"/>
        </w:rPr>
      </w:pPr>
      <w:r w:rsidRPr="00BD3E6E">
        <w:rPr>
          <w:rFonts w:eastAsiaTheme="minorEastAsia" w:cs="Arial"/>
          <w:b/>
          <w:sz w:val="22"/>
          <w:lang w:eastAsia="zh-TW"/>
        </w:rPr>
        <w:t>For a BWP</w:t>
      </w:r>
      <w:r>
        <w:rPr>
          <w:rFonts w:eastAsiaTheme="minorEastAsia" w:cs="Arial"/>
          <w:b/>
          <w:sz w:val="22"/>
          <w:lang w:eastAsia="zh-TW"/>
        </w:rPr>
        <w:t xml:space="preserve"> </w:t>
      </w:r>
      <w:r w:rsidRPr="00E80035">
        <w:rPr>
          <w:rFonts w:eastAsiaTheme="minorEastAsia" w:cs="Arial"/>
          <w:b/>
          <w:sz w:val="22"/>
          <w:lang w:eastAsia="zh-TW"/>
        </w:rPr>
        <w:t>with dormancy behavior</w:t>
      </w:r>
      <w:r w:rsidRPr="00BD3E6E">
        <w:rPr>
          <w:rFonts w:eastAsiaTheme="minorEastAsia" w:cs="Arial"/>
          <w:b/>
          <w:sz w:val="22"/>
          <w:lang w:eastAsia="zh-TW"/>
        </w:rPr>
        <w:t xml:space="preserve">, periodic CSI measurement and report is configured to maintain downlink channel quality. </w:t>
      </w:r>
    </w:p>
    <w:p w14:paraId="583FEC75" w14:textId="77777777" w:rsidR="00804657" w:rsidRPr="00BD3E6E" w:rsidRDefault="00804657" w:rsidP="00804657">
      <w:pPr>
        <w:pStyle w:val="Doc-text2"/>
        <w:numPr>
          <w:ilvl w:val="1"/>
          <w:numId w:val="38"/>
        </w:numPr>
        <w:tabs>
          <w:tab w:val="left" w:pos="340"/>
        </w:tabs>
        <w:spacing w:before="120" w:after="120"/>
        <w:jc w:val="both"/>
        <w:rPr>
          <w:rFonts w:eastAsiaTheme="minorEastAsia" w:cs="Arial"/>
          <w:b/>
          <w:sz w:val="22"/>
          <w:lang w:eastAsia="zh-TW"/>
        </w:rPr>
      </w:pPr>
      <w:r w:rsidRPr="00BD3E6E">
        <w:rPr>
          <w:rFonts w:eastAsiaTheme="minorEastAsia" w:cs="Arial"/>
          <w:b/>
          <w:sz w:val="22"/>
          <w:lang w:eastAsia="zh-TW"/>
        </w:rPr>
        <w:t xml:space="preserve">Though the IE </w:t>
      </w:r>
      <w:r w:rsidRPr="00BD3E6E">
        <w:rPr>
          <w:rFonts w:eastAsiaTheme="minorEastAsia" w:cs="Arial"/>
          <w:b/>
          <w:i/>
          <w:sz w:val="22"/>
          <w:lang w:eastAsia="zh-TW"/>
        </w:rPr>
        <w:t xml:space="preserve">bwp-id </w:t>
      </w:r>
      <w:r w:rsidRPr="00BD3E6E">
        <w:rPr>
          <w:rFonts w:eastAsiaTheme="minorEastAsia" w:cs="Arial"/>
          <w:b/>
          <w:sz w:val="22"/>
          <w:lang w:eastAsia="zh-TW"/>
        </w:rPr>
        <w:t xml:space="preserve">under </w:t>
      </w:r>
      <w:r w:rsidRPr="00BD3E6E">
        <w:rPr>
          <w:rFonts w:eastAsiaTheme="minorEastAsia" w:cs="Arial"/>
          <w:b/>
          <w:i/>
          <w:sz w:val="22"/>
          <w:lang w:eastAsia="zh-TW"/>
        </w:rPr>
        <w:t>CSI-ResourceConfig</w:t>
      </w:r>
    </w:p>
    <w:p w14:paraId="275F3AF8" w14:textId="77777777" w:rsidR="00804657" w:rsidRPr="00BD3E6E" w:rsidRDefault="00804657" w:rsidP="00804657">
      <w:pPr>
        <w:pStyle w:val="Doc-text2"/>
        <w:numPr>
          <w:ilvl w:val="0"/>
          <w:numId w:val="38"/>
        </w:numPr>
        <w:tabs>
          <w:tab w:val="left" w:pos="340"/>
        </w:tabs>
        <w:spacing w:before="120" w:after="120"/>
        <w:jc w:val="both"/>
        <w:rPr>
          <w:rFonts w:eastAsiaTheme="minorEastAsia" w:cs="Arial"/>
          <w:b/>
          <w:sz w:val="22"/>
          <w:lang w:eastAsia="zh-TW"/>
        </w:rPr>
      </w:pPr>
      <w:r>
        <w:rPr>
          <w:rFonts w:eastAsiaTheme="minorEastAsia" w:cs="Arial"/>
          <w:b/>
          <w:sz w:val="22"/>
          <w:lang w:eastAsia="zh-TW"/>
        </w:rPr>
        <w:t xml:space="preserve">For a </w:t>
      </w:r>
      <w:r w:rsidRPr="00BD3E6E">
        <w:rPr>
          <w:rFonts w:eastAsiaTheme="minorEastAsia" w:cs="Arial"/>
          <w:b/>
          <w:sz w:val="22"/>
          <w:lang w:eastAsia="zh-TW"/>
        </w:rPr>
        <w:t>BWP</w:t>
      </w:r>
      <w:r>
        <w:rPr>
          <w:rFonts w:eastAsiaTheme="minorEastAsia" w:cs="Arial"/>
          <w:b/>
          <w:sz w:val="22"/>
          <w:lang w:eastAsia="zh-TW"/>
        </w:rPr>
        <w:t xml:space="preserve"> </w:t>
      </w:r>
      <w:r w:rsidRPr="00E80035">
        <w:rPr>
          <w:rFonts w:eastAsiaTheme="minorEastAsia" w:cs="Arial"/>
          <w:b/>
          <w:sz w:val="22"/>
          <w:lang w:eastAsia="zh-TW"/>
        </w:rPr>
        <w:t>with dormancy behavior</w:t>
      </w:r>
      <w:r w:rsidRPr="00BD3E6E">
        <w:rPr>
          <w:rFonts w:eastAsiaTheme="minorEastAsia" w:cs="Arial"/>
          <w:b/>
          <w:sz w:val="22"/>
          <w:lang w:eastAsia="zh-TW"/>
        </w:rPr>
        <w:t xml:space="preserve">, periodic SRS resource is configured to maintain uplink channel quality </w:t>
      </w:r>
    </w:p>
    <w:p w14:paraId="0B65F63E" w14:textId="77777777" w:rsidR="00804657" w:rsidRPr="00AB7F9C" w:rsidRDefault="00804657" w:rsidP="00804657">
      <w:pPr>
        <w:pStyle w:val="Doc-text2"/>
        <w:numPr>
          <w:ilvl w:val="1"/>
          <w:numId w:val="38"/>
        </w:numPr>
        <w:tabs>
          <w:tab w:val="left" w:pos="340"/>
        </w:tabs>
        <w:spacing w:before="120" w:after="120"/>
        <w:jc w:val="both"/>
        <w:rPr>
          <w:rFonts w:eastAsiaTheme="minorEastAsia" w:cs="Arial"/>
          <w:b/>
          <w:sz w:val="22"/>
          <w:lang w:eastAsia="zh-TW"/>
        </w:rPr>
      </w:pPr>
      <w:r w:rsidRPr="00BD3E6E">
        <w:rPr>
          <w:rFonts w:eastAsiaTheme="minorEastAsia" w:cs="Arial"/>
          <w:b/>
          <w:sz w:val="22"/>
          <w:lang w:eastAsia="zh-TW"/>
        </w:rPr>
        <w:t xml:space="preserve">Through the IE </w:t>
      </w:r>
      <w:r w:rsidRPr="00BD3E6E">
        <w:rPr>
          <w:rFonts w:eastAsiaTheme="minorEastAsia" w:cs="Arial"/>
          <w:b/>
          <w:i/>
          <w:sz w:val="22"/>
          <w:lang w:eastAsia="zh-TW"/>
        </w:rPr>
        <w:t>srs-Config</w:t>
      </w:r>
      <w:r w:rsidRPr="00BD3E6E">
        <w:rPr>
          <w:rFonts w:eastAsiaTheme="minorEastAsia" w:cs="Arial"/>
          <w:b/>
          <w:sz w:val="22"/>
          <w:lang w:eastAsia="zh-TW"/>
        </w:rPr>
        <w:t xml:space="preserve"> under </w:t>
      </w:r>
      <w:r w:rsidRPr="00BD3E6E">
        <w:rPr>
          <w:rFonts w:eastAsiaTheme="minorEastAsia" w:cs="Arial"/>
          <w:b/>
          <w:i/>
          <w:sz w:val="22"/>
          <w:lang w:eastAsia="zh-TW"/>
        </w:rPr>
        <w:t>BWP-UplinkDedicated</w:t>
      </w:r>
    </w:p>
    <w:p w14:paraId="61A45A33" w14:textId="77777777" w:rsidR="00804657" w:rsidRDefault="00804657" w:rsidP="00804657">
      <w:pPr>
        <w:pStyle w:val="Doc-text2"/>
        <w:tabs>
          <w:tab w:val="left" w:pos="340"/>
        </w:tabs>
        <w:spacing w:before="120" w:after="120"/>
        <w:ind w:left="0" w:firstLine="0"/>
        <w:jc w:val="both"/>
        <w:rPr>
          <w:rFonts w:eastAsiaTheme="minorEastAsia" w:cs="Arial"/>
          <w:b/>
          <w:sz w:val="22"/>
          <w:lang w:eastAsia="zh-TW"/>
        </w:rPr>
      </w:pPr>
      <w:r>
        <w:rPr>
          <w:rFonts w:cs="Arial"/>
          <w:b/>
          <w:sz w:val="22"/>
          <w:u w:val="single"/>
          <w:shd w:val="clear" w:color="auto" w:fill="FFFFFF"/>
        </w:rPr>
        <w:t>Proposal 2</w:t>
      </w:r>
      <w:r w:rsidRPr="00887DB4">
        <w:rPr>
          <w:rFonts w:cs="Arial"/>
          <w:b/>
          <w:sz w:val="22"/>
          <w:u w:val="single"/>
          <w:shd w:val="clear" w:color="auto" w:fill="FFFFFF"/>
        </w:rPr>
        <w:t>:</w:t>
      </w:r>
    </w:p>
    <w:p w14:paraId="792540C6" w14:textId="77777777" w:rsidR="00804657" w:rsidRDefault="00804657" w:rsidP="00804657">
      <w:pPr>
        <w:pStyle w:val="Doc-text2"/>
        <w:tabs>
          <w:tab w:val="left" w:pos="340"/>
        </w:tabs>
        <w:spacing w:before="120" w:after="120"/>
        <w:ind w:left="0" w:firstLine="0"/>
        <w:jc w:val="both"/>
        <w:rPr>
          <w:rFonts w:eastAsiaTheme="minorEastAsia" w:cs="Arial"/>
          <w:b/>
          <w:sz w:val="22"/>
          <w:lang w:eastAsia="zh-TW"/>
        </w:rPr>
      </w:pPr>
      <w:r>
        <w:rPr>
          <w:rFonts w:eastAsiaTheme="minorEastAsia" w:cs="Arial"/>
          <w:b/>
          <w:sz w:val="22"/>
          <w:lang w:eastAsia="zh-TW"/>
        </w:rPr>
        <w:t xml:space="preserve">For a </w:t>
      </w:r>
      <w:r w:rsidRPr="00BD3E6E">
        <w:rPr>
          <w:rFonts w:eastAsiaTheme="minorEastAsia" w:cs="Arial"/>
          <w:b/>
          <w:sz w:val="22"/>
          <w:lang w:eastAsia="zh-TW"/>
        </w:rPr>
        <w:t>BWP</w:t>
      </w:r>
      <w:r>
        <w:rPr>
          <w:rFonts w:eastAsiaTheme="minorEastAsia" w:cs="Arial"/>
          <w:b/>
          <w:sz w:val="22"/>
          <w:lang w:eastAsia="zh-TW"/>
        </w:rPr>
        <w:t xml:space="preserve"> </w:t>
      </w:r>
      <w:r w:rsidRPr="00E80035">
        <w:rPr>
          <w:rFonts w:eastAsiaTheme="minorEastAsia" w:cs="Arial"/>
          <w:b/>
          <w:sz w:val="22"/>
          <w:lang w:eastAsia="zh-TW"/>
        </w:rPr>
        <w:t>with dormancy behavior</w:t>
      </w:r>
      <w:r>
        <w:rPr>
          <w:rFonts w:eastAsiaTheme="minorEastAsia" w:cs="Arial"/>
          <w:b/>
          <w:sz w:val="22"/>
          <w:lang w:eastAsia="zh-TW"/>
        </w:rPr>
        <w:t>, UE implements no PDCCH monitoring by</w:t>
      </w:r>
    </w:p>
    <w:p w14:paraId="2532DB80" w14:textId="77777777" w:rsidR="00804657" w:rsidRDefault="00804657" w:rsidP="00804657">
      <w:pPr>
        <w:pStyle w:val="Doc-text2"/>
        <w:numPr>
          <w:ilvl w:val="0"/>
          <w:numId w:val="38"/>
        </w:numPr>
        <w:tabs>
          <w:tab w:val="left" w:pos="340"/>
        </w:tabs>
        <w:spacing w:before="120" w:after="120"/>
        <w:jc w:val="both"/>
        <w:rPr>
          <w:rFonts w:eastAsiaTheme="minorEastAsia" w:cs="Arial"/>
          <w:b/>
          <w:sz w:val="22"/>
          <w:lang w:eastAsia="zh-TW"/>
        </w:rPr>
      </w:pPr>
      <w:r>
        <w:rPr>
          <w:rFonts w:eastAsiaTheme="minorEastAsia" w:cs="Arial"/>
          <w:b/>
          <w:sz w:val="22"/>
          <w:lang w:eastAsia="zh-TW"/>
        </w:rPr>
        <w:t xml:space="preserve">Specifying a UE behavior that UE does not monitor PDCCH on a BWP </w:t>
      </w:r>
      <w:r w:rsidRPr="00E80035">
        <w:rPr>
          <w:rFonts w:eastAsiaTheme="minorEastAsia" w:cs="Arial"/>
          <w:b/>
          <w:sz w:val="22"/>
          <w:lang w:eastAsia="zh-TW"/>
        </w:rPr>
        <w:t>with dormancy behavior</w:t>
      </w:r>
      <w:r>
        <w:rPr>
          <w:rFonts w:eastAsiaTheme="minorEastAsia" w:cs="Arial"/>
          <w:b/>
          <w:sz w:val="22"/>
          <w:lang w:eastAsia="zh-TW"/>
        </w:rPr>
        <w:t xml:space="preserve"> (spec impact on 38.213)</w:t>
      </w:r>
    </w:p>
    <w:p w14:paraId="2B1B82CF" w14:textId="77777777" w:rsidR="00804657" w:rsidRPr="00BD3E6E" w:rsidRDefault="00804657" w:rsidP="00804657">
      <w:pPr>
        <w:pStyle w:val="Doc-text2"/>
        <w:numPr>
          <w:ilvl w:val="0"/>
          <w:numId w:val="38"/>
        </w:numPr>
        <w:tabs>
          <w:tab w:val="left" w:pos="340"/>
        </w:tabs>
        <w:spacing w:before="120" w:after="120"/>
        <w:jc w:val="both"/>
        <w:rPr>
          <w:rFonts w:eastAsiaTheme="minorEastAsia" w:cs="Arial"/>
          <w:b/>
          <w:sz w:val="22"/>
          <w:lang w:eastAsia="zh-TW"/>
        </w:rPr>
      </w:pPr>
      <w:r>
        <w:rPr>
          <w:rFonts w:eastAsiaTheme="minorEastAsia" w:cs="Arial" w:hint="eastAsia"/>
          <w:b/>
          <w:sz w:val="22"/>
          <w:lang w:eastAsia="zh-TW"/>
        </w:rPr>
        <w:t>BWP c</w:t>
      </w:r>
      <w:r>
        <w:rPr>
          <w:rFonts w:eastAsiaTheme="minorEastAsia" w:cs="Arial"/>
          <w:b/>
          <w:sz w:val="22"/>
          <w:lang w:eastAsia="zh-TW"/>
        </w:rPr>
        <w:t>onfiguration (no spec impact)</w:t>
      </w:r>
    </w:p>
    <w:p w14:paraId="25484423" w14:textId="36F723EC" w:rsidR="00F60450" w:rsidRDefault="00F60450" w:rsidP="00F60450">
      <w:pPr>
        <w:pStyle w:val="Doc-text2"/>
        <w:tabs>
          <w:tab w:val="left" w:pos="340"/>
        </w:tabs>
        <w:spacing w:before="120" w:after="120"/>
        <w:ind w:left="0" w:firstLine="0"/>
        <w:jc w:val="both"/>
        <w:rPr>
          <w:rFonts w:eastAsiaTheme="minorEastAsia" w:cs="Arial"/>
          <w:b/>
          <w:sz w:val="22"/>
          <w:lang w:eastAsia="zh-TW"/>
        </w:rPr>
      </w:pPr>
      <w:r>
        <w:rPr>
          <w:rFonts w:cs="Arial"/>
          <w:b/>
          <w:sz w:val="22"/>
          <w:u w:val="single"/>
          <w:shd w:val="clear" w:color="auto" w:fill="FFFFFF"/>
        </w:rPr>
        <w:t>Proposal 3</w:t>
      </w:r>
      <w:r w:rsidRPr="00887DB4">
        <w:rPr>
          <w:rFonts w:cs="Arial"/>
          <w:b/>
          <w:sz w:val="22"/>
          <w:u w:val="single"/>
          <w:shd w:val="clear" w:color="auto" w:fill="FFFFFF"/>
        </w:rPr>
        <w:t>:</w:t>
      </w:r>
      <w:r w:rsidRPr="00A85488">
        <w:rPr>
          <w:rFonts w:eastAsiaTheme="minorEastAsia" w:cs="Arial"/>
          <w:b/>
          <w:sz w:val="22"/>
          <w:lang w:eastAsia="zh-TW"/>
        </w:rPr>
        <w:t xml:space="preserve"> </w:t>
      </w:r>
      <w:r>
        <w:rPr>
          <w:rFonts w:eastAsiaTheme="minorEastAsia" w:cs="Arial"/>
          <w:b/>
          <w:sz w:val="22"/>
          <w:lang w:eastAsia="zh-TW"/>
        </w:rPr>
        <w:t>RAN1 send</w:t>
      </w:r>
      <w:r w:rsidR="005B30A4">
        <w:rPr>
          <w:rFonts w:eastAsiaTheme="minorEastAsia" w:cs="Arial"/>
          <w:b/>
          <w:sz w:val="22"/>
          <w:lang w:eastAsia="zh-TW"/>
        </w:rPr>
        <w:t>s</w:t>
      </w:r>
      <w:r>
        <w:rPr>
          <w:rFonts w:eastAsiaTheme="minorEastAsia" w:cs="Arial"/>
          <w:b/>
          <w:sz w:val="22"/>
          <w:lang w:eastAsia="zh-TW"/>
        </w:rPr>
        <w:t xml:space="preserve"> an LS to RAN4 to decide BWP switch delay requirement regarding</w:t>
      </w:r>
    </w:p>
    <w:p w14:paraId="606ABFF7" w14:textId="77777777" w:rsidR="00F60450" w:rsidRDefault="00F60450" w:rsidP="00F60450">
      <w:pPr>
        <w:pStyle w:val="Doc-text2"/>
        <w:numPr>
          <w:ilvl w:val="0"/>
          <w:numId w:val="38"/>
        </w:numPr>
        <w:tabs>
          <w:tab w:val="left" w:pos="340"/>
        </w:tabs>
        <w:spacing w:before="120" w:after="120"/>
        <w:jc w:val="both"/>
        <w:rPr>
          <w:rFonts w:eastAsiaTheme="minorEastAsia" w:cs="Arial"/>
          <w:b/>
          <w:sz w:val="22"/>
          <w:lang w:eastAsia="zh-TW"/>
        </w:rPr>
      </w:pPr>
      <w:r>
        <w:rPr>
          <w:rFonts w:eastAsiaTheme="minorEastAsia" w:cs="Arial"/>
          <w:b/>
          <w:sz w:val="22"/>
          <w:lang w:eastAsia="zh-TW"/>
        </w:rPr>
        <w:t>The definition of BWP with dormancy behavior</w:t>
      </w:r>
    </w:p>
    <w:p w14:paraId="7A534AFB" w14:textId="77777777" w:rsidR="00F60450" w:rsidRPr="00211BCD" w:rsidRDefault="00F60450" w:rsidP="00F60450">
      <w:pPr>
        <w:pStyle w:val="Doc-text2"/>
        <w:numPr>
          <w:ilvl w:val="0"/>
          <w:numId w:val="38"/>
        </w:numPr>
        <w:tabs>
          <w:tab w:val="left" w:pos="340"/>
        </w:tabs>
        <w:spacing w:before="120" w:after="120"/>
        <w:jc w:val="both"/>
        <w:rPr>
          <w:rFonts w:eastAsiaTheme="minorEastAsia" w:cs="Arial"/>
          <w:b/>
          <w:sz w:val="22"/>
          <w:lang w:eastAsia="zh-TW"/>
        </w:rPr>
      </w:pPr>
      <w:r>
        <w:rPr>
          <w:rFonts w:eastAsiaTheme="minorEastAsia" w:cs="Arial"/>
          <w:b/>
          <w:sz w:val="22"/>
          <w:lang w:eastAsia="zh-TW"/>
        </w:rPr>
        <w:t>Jointly considering the power saving techniques adaptation delay to SCell dormancy, maximum number of MIMO layers, and cross-slot scheduling, aiming for a unified requirement for power saving purpose.</w:t>
      </w:r>
    </w:p>
    <w:p w14:paraId="687080BC" w14:textId="77777777" w:rsidR="00F60450" w:rsidRDefault="00F60450" w:rsidP="00F60450">
      <w:pPr>
        <w:spacing w:after="0"/>
        <w:rPr>
          <w:rFonts w:ascii="Arial" w:hAnsi="Arial" w:cs="Arial"/>
          <w:b/>
          <w:shd w:val="clear" w:color="auto" w:fill="FFFFFF"/>
        </w:rPr>
      </w:pPr>
      <w:r>
        <w:rPr>
          <w:rFonts w:ascii="Arial" w:hAnsi="Arial" w:cs="Arial"/>
          <w:b/>
          <w:u w:val="single"/>
          <w:shd w:val="clear" w:color="auto" w:fill="FFFFFF"/>
        </w:rPr>
        <w:t>Proposal 4</w:t>
      </w:r>
      <w:r w:rsidRPr="00A174AF">
        <w:rPr>
          <w:rFonts w:ascii="Arial" w:hAnsi="Arial" w:cs="Arial"/>
          <w:b/>
          <w:u w:val="single"/>
          <w:shd w:val="clear" w:color="auto" w:fill="FFFFFF"/>
        </w:rPr>
        <w:t>:</w:t>
      </w:r>
      <w:r w:rsidRPr="00A174AF">
        <w:rPr>
          <w:rFonts w:ascii="Arial" w:hAnsi="Arial" w:cs="Arial"/>
          <w:b/>
        </w:rPr>
        <w:t xml:space="preserve"> </w:t>
      </w:r>
      <w:r w:rsidRPr="00A174AF">
        <w:rPr>
          <w:rFonts w:ascii="Arial" w:hAnsi="Arial" w:cs="Arial"/>
          <w:b/>
          <w:shd w:val="clear" w:color="auto" w:fill="FFFFFF"/>
        </w:rPr>
        <w:t>For an SCell configured with a BWP</w:t>
      </w:r>
      <w:r>
        <w:rPr>
          <w:rFonts w:ascii="Arial" w:hAnsi="Arial" w:cs="Arial"/>
          <w:b/>
          <w:shd w:val="clear" w:color="auto" w:fill="FFFFFF"/>
        </w:rPr>
        <w:t xml:space="preserve"> </w:t>
      </w:r>
      <w:r w:rsidRPr="004604B0">
        <w:rPr>
          <w:rFonts w:ascii="Arial" w:hAnsi="Arial" w:cs="Arial"/>
          <w:b/>
          <w:shd w:val="clear" w:color="auto" w:fill="FFFFFF"/>
        </w:rPr>
        <w:t>with dormancy behavior</w:t>
      </w:r>
      <w:r w:rsidRPr="00A174AF">
        <w:rPr>
          <w:rFonts w:ascii="Arial" w:hAnsi="Arial" w:cs="Arial"/>
          <w:b/>
          <w:shd w:val="clear" w:color="auto" w:fill="FFFFFF"/>
        </w:rPr>
        <w:t xml:space="preserve">, the </w:t>
      </w:r>
      <w:r>
        <w:rPr>
          <w:rFonts w:ascii="Arial" w:hAnsi="Arial" w:cs="Arial"/>
          <w:b/>
          <w:shd w:val="clear" w:color="auto" w:fill="FFFFFF"/>
        </w:rPr>
        <w:t>default BWP of this SCell is configured</w:t>
      </w:r>
      <w:r w:rsidRPr="00A174AF">
        <w:rPr>
          <w:rFonts w:ascii="Arial" w:hAnsi="Arial" w:cs="Arial"/>
          <w:b/>
          <w:shd w:val="clear" w:color="auto" w:fill="FFFFFF"/>
        </w:rPr>
        <w:t xml:space="preserve"> to be the BWP</w:t>
      </w:r>
      <w:r>
        <w:rPr>
          <w:rFonts w:ascii="Arial" w:hAnsi="Arial" w:cs="Arial"/>
          <w:b/>
          <w:shd w:val="clear" w:color="auto" w:fill="FFFFFF"/>
        </w:rPr>
        <w:t xml:space="preserve"> </w:t>
      </w:r>
      <w:r w:rsidRPr="004604B0">
        <w:rPr>
          <w:rFonts w:ascii="Arial" w:hAnsi="Arial" w:cs="Arial"/>
          <w:b/>
          <w:shd w:val="clear" w:color="auto" w:fill="FFFFFF"/>
        </w:rPr>
        <w:t>with dormancy behavior</w:t>
      </w:r>
      <w:r w:rsidRPr="00A174AF">
        <w:rPr>
          <w:rFonts w:ascii="Arial" w:hAnsi="Arial" w:cs="Arial"/>
          <w:b/>
          <w:shd w:val="clear" w:color="auto" w:fill="FFFFFF"/>
        </w:rPr>
        <w:t>.</w:t>
      </w:r>
      <w:r>
        <w:rPr>
          <w:rFonts w:ascii="Arial" w:hAnsi="Arial" w:cs="Arial"/>
          <w:b/>
          <w:shd w:val="clear" w:color="auto" w:fill="FFFFFF"/>
        </w:rPr>
        <w:t xml:space="preserve"> (No spec impact)</w:t>
      </w:r>
    </w:p>
    <w:p w14:paraId="3F078862" w14:textId="77777777" w:rsidR="00F60450" w:rsidRPr="00211BCD" w:rsidRDefault="00F60450" w:rsidP="00F60450">
      <w:pPr>
        <w:spacing w:after="0"/>
        <w:rPr>
          <w:rFonts w:ascii="Arial" w:hAnsi="Arial" w:cs="Arial"/>
          <w:b/>
          <w:shd w:val="clear" w:color="auto" w:fill="FFFFFF"/>
        </w:rPr>
      </w:pPr>
    </w:p>
    <w:p w14:paraId="1F07FA82" w14:textId="77777777" w:rsidR="00F60450" w:rsidRPr="0003374B" w:rsidRDefault="00F60450" w:rsidP="00F60450">
      <w:pPr>
        <w:autoSpaceDE w:val="0"/>
        <w:autoSpaceDN w:val="0"/>
        <w:spacing w:after="0" w:line="240" w:lineRule="auto"/>
        <w:rPr>
          <w:rFonts w:ascii="Arial" w:hAnsi="Arial" w:cs="Arial"/>
          <w:b/>
          <w:shd w:val="clear" w:color="auto" w:fill="FFFFFF"/>
        </w:rPr>
      </w:pPr>
      <w:r w:rsidRPr="0003374B">
        <w:rPr>
          <w:rFonts w:ascii="Arial" w:hAnsi="Arial" w:cs="Arial"/>
          <w:b/>
          <w:u w:val="single"/>
          <w:shd w:val="clear" w:color="auto" w:fill="FFFFFF"/>
        </w:rPr>
        <w:t>Proposal</w:t>
      </w:r>
      <w:r>
        <w:rPr>
          <w:rFonts w:ascii="Arial" w:hAnsi="Arial" w:cs="Arial"/>
          <w:b/>
          <w:u w:val="single"/>
          <w:shd w:val="clear" w:color="auto" w:fill="FFFFFF"/>
        </w:rPr>
        <w:t xml:space="preserve"> 5</w:t>
      </w:r>
      <w:r w:rsidRPr="0003374B">
        <w:rPr>
          <w:rFonts w:ascii="Arial" w:hAnsi="Arial" w:cs="Arial"/>
          <w:b/>
          <w:u w:val="single"/>
          <w:shd w:val="clear" w:color="auto" w:fill="FFFFFF"/>
        </w:rPr>
        <w:t>:</w:t>
      </w:r>
      <w:r w:rsidRPr="0003374B">
        <w:rPr>
          <w:b/>
        </w:rPr>
        <w:t xml:space="preserve"> </w:t>
      </w:r>
      <w:r w:rsidRPr="0003374B">
        <w:rPr>
          <w:rFonts w:ascii="Arial" w:hAnsi="Arial" w:cs="Arial"/>
          <w:b/>
          <w:shd w:val="clear" w:color="auto" w:fill="FFFFFF"/>
        </w:rPr>
        <w:t>When a</w:t>
      </w:r>
      <w:r>
        <w:rPr>
          <w:rFonts w:ascii="Arial" w:hAnsi="Arial" w:cs="Arial"/>
          <w:b/>
          <w:shd w:val="clear" w:color="auto" w:fill="FFFFFF"/>
        </w:rPr>
        <w:t>n</w:t>
      </w:r>
      <w:r w:rsidRPr="0003374B">
        <w:rPr>
          <w:rFonts w:ascii="Arial" w:hAnsi="Arial" w:cs="Arial"/>
          <w:b/>
          <w:shd w:val="clear" w:color="auto" w:fill="FFFFFF"/>
        </w:rPr>
        <w:t xml:space="preserve"> SCell is indicated to transit from </w:t>
      </w:r>
      <w:r>
        <w:rPr>
          <w:rFonts w:ascii="Arial" w:hAnsi="Arial" w:cs="Arial"/>
          <w:b/>
          <w:shd w:val="clear" w:color="auto" w:fill="FFFFFF"/>
        </w:rPr>
        <w:t xml:space="preserve">BWP </w:t>
      </w:r>
      <w:r w:rsidRPr="004604B0">
        <w:rPr>
          <w:rFonts w:ascii="Arial" w:hAnsi="Arial" w:cs="Arial"/>
          <w:b/>
          <w:shd w:val="clear" w:color="auto" w:fill="FFFFFF"/>
        </w:rPr>
        <w:t>with dormancy behavior</w:t>
      </w:r>
      <w:r>
        <w:rPr>
          <w:rFonts w:ascii="Arial" w:hAnsi="Arial" w:cs="Arial"/>
          <w:b/>
          <w:shd w:val="clear" w:color="auto" w:fill="FFFFFF"/>
        </w:rPr>
        <w:t xml:space="preserve"> to </w:t>
      </w:r>
      <w:r w:rsidRPr="0003374B">
        <w:rPr>
          <w:rFonts w:ascii="Arial" w:hAnsi="Arial" w:cs="Arial"/>
          <w:b/>
          <w:shd w:val="clear" w:color="auto" w:fill="FFFFFF"/>
        </w:rPr>
        <w:t>BWP</w:t>
      </w:r>
      <w:r>
        <w:rPr>
          <w:rFonts w:ascii="Arial" w:hAnsi="Arial" w:cs="Arial"/>
          <w:b/>
          <w:shd w:val="clear" w:color="auto" w:fill="FFFFFF"/>
        </w:rPr>
        <w:t xml:space="preserve"> </w:t>
      </w:r>
      <w:r w:rsidRPr="004604B0">
        <w:rPr>
          <w:rFonts w:ascii="Arial" w:hAnsi="Arial" w:cs="Arial"/>
          <w:b/>
          <w:shd w:val="clear" w:color="auto" w:fill="FFFFFF"/>
        </w:rPr>
        <w:t>with non-dormancy behavior</w:t>
      </w:r>
      <w:r w:rsidRPr="0003374B">
        <w:rPr>
          <w:rFonts w:ascii="Arial" w:hAnsi="Arial" w:cs="Arial"/>
          <w:b/>
          <w:shd w:val="clear" w:color="auto" w:fill="FFFFFF"/>
        </w:rPr>
        <w:t>, if there are multiple BWPs</w:t>
      </w:r>
      <w:r>
        <w:rPr>
          <w:rFonts w:ascii="Arial" w:hAnsi="Arial" w:cs="Arial"/>
          <w:b/>
          <w:shd w:val="clear" w:color="auto" w:fill="FFFFFF"/>
        </w:rPr>
        <w:t xml:space="preserve"> </w:t>
      </w:r>
      <w:r w:rsidRPr="004604B0">
        <w:rPr>
          <w:rFonts w:ascii="Arial" w:hAnsi="Arial" w:cs="Arial"/>
          <w:b/>
          <w:shd w:val="clear" w:color="auto" w:fill="FFFFFF"/>
        </w:rPr>
        <w:t xml:space="preserve">with </w:t>
      </w:r>
      <w:r>
        <w:rPr>
          <w:rFonts w:ascii="Arial" w:hAnsi="Arial" w:cs="Arial"/>
          <w:b/>
          <w:shd w:val="clear" w:color="auto" w:fill="FFFFFF"/>
        </w:rPr>
        <w:t>non-</w:t>
      </w:r>
      <w:r w:rsidRPr="004604B0">
        <w:rPr>
          <w:rFonts w:ascii="Arial" w:hAnsi="Arial" w:cs="Arial"/>
          <w:b/>
          <w:shd w:val="clear" w:color="auto" w:fill="FFFFFF"/>
        </w:rPr>
        <w:t>dormancy behavior</w:t>
      </w:r>
      <w:r w:rsidRPr="0003374B">
        <w:rPr>
          <w:rFonts w:ascii="Arial" w:hAnsi="Arial" w:cs="Arial"/>
          <w:b/>
          <w:shd w:val="clear" w:color="auto" w:fill="FFFFFF"/>
        </w:rPr>
        <w:t>, the following options can be considered:</w:t>
      </w:r>
    </w:p>
    <w:p w14:paraId="10221E14" w14:textId="77777777" w:rsidR="00F60450" w:rsidRPr="000B6052" w:rsidRDefault="00F60450" w:rsidP="00F60450">
      <w:pPr>
        <w:pStyle w:val="af7"/>
        <w:numPr>
          <w:ilvl w:val="0"/>
          <w:numId w:val="37"/>
        </w:numPr>
        <w:autoSpaceDE w:val="0"/>
        <w:autoSpaceDN w:val="0"/>
        <w:spacing w:after="0" w:line="240" w:lineRule="auto"/>
        <w:rPr>
          <w:rFonts w:ascii="Arial" w:hAnsi="Arial" w:cs="Arial"/>
          <w:b/>
          <w:sz w:val="21"/>
          <w:szCs w:val="21"/>
          <w:shd w:val="clear" w:color="auto" w:fill="FFFFFF"/>
        </w:rPr>
      </w:pPr>
      <w:r w:rsidRPr="000B6052">
        <w:rPr>
          <w:rFonts w:ascii="Arial" w:hAnsi="Arial" w:cs="Arial"/>
          <w:b/>
          <w:sz w:val="21"/>
          <w:szCs w:val="21"/>
          <w:shd w:val="clear" w:color="auto" w:fill="FFFFFF"/>
        </w:rPr>
        <w:t>A default BWP</w:t>
      </w:r>
      <w:r>
        <w:rPr>
          <w:rFonts w:ascii="Arial" w:hAnsi="Arial" w:cs="Arial"/>
          <w:b/>
          <w:sz w:val="21"/>
          <w:szCs w:val="21"/>
          <w:shd w:val="clear" w:color="auto" w:fill="FFFFFF"/>
        </w:rPr>
        <w:t xml:space="preserve"> </w:t>
      </w:r>
      <w:r w:rsidRPr="004604B0">
        <w:rPr>
          <w:rFonts w:ascii="Arial" w:hAnsi="Arial" w:cs="Arial"/>
          <w:b/>
          <w:sz w:val="21"/>
          <w:szCs w:val="21"/>
          <w:shd w:val="clear" w:color="auto" w:fill="FFFFFF"/>
        </w:rPr>
        <w:t>with non-dormancy behavior</w:t>
      </w:r>
      <w:r w:rsidRPr="000B6052">
        <w:rPr>
          <w:rFonts w:ascii="Arial" w:hAnsi="Arial" w:cs="Arial"/>
          <w:b/>
          <w:sz w:val="21"/>
          <w:szCs w:val="21"/>
          <w:shd w:val="clear" w:color="auto" w:fill="FFFFFF"/>
        </w:rPr>
        <w:t xml:space="preserve"> is configured</w:t>
      </w:r>
    </w:p>
    <w:p w14:paraId="07E8985F" w14:textId="77777777" w:rsidR="00F60450" w:rsidRPr="000B6052" w:rsidRDefault="00F60450" w:rsidP="00F60450">
      <w:pPr>
        <w:pStyle w:val="af7"/>
        <w:numPr>
          <w:ilvl w:val="0"/>
          <w:numId w:val="37"/>
        </w:numPr>
        <w:autoSpaceDE w:val="0"/>
        <w:autoSpaceDN w:val="0"/>
        <w:spacing w:after="0" w:line="240" w:lineRule="auto"/>
        <w:rPr>
          <w:rFonts w:ascii="Arial" w:hAnsi="Arial" w:cs="Arial"/>
          <w:b/>
          <w:sz w:val="21"/>
          <w:szCs w:val="21"/>
          <w:shd w:val="clear" w:color="auto" w:fill="FFFFFF"/>
        </w:rPr>
      </w:pPr>
      <w:r w:rsidRPr="000B6052">
        <w:rPr>
          <w:rFonts w:ascii="Arial" w:hAnsi="Arial" w:cs="Arial"/>
          <w:b/>
          <w:sz w:val="21"/>
          <w:szCs w:val="21"/>
          <w:shd w:val="clear" w:color="auto" w:fill="FFFFFF"/>
        </w:rPr>
        <w:t>UE returns to the BWP</w:t>
      </w:r>
      <w:r>
        <w:rPr>
          <w:rFonts w:ascii="Arial" w:hAnsi="Arial" w:cs="Arial"/>
          <w:b/>
          <w:sz w:val="21"/>
          <w:szCs w:val="21"/>
          <w:shd w:val="clear" w:color="auto" w:fill="FFFFFF"/>
        </w:rPr>
        <w:t xml:space="preserve"> </w:t>
      </w:r>
      <w:r w:rsidRPr="004604B0">
        <w:rPr>
          <w:rFonts w:ascii="Arial" w:hAnsi="Arial" w:cs="Arial"/>
          <w:b/>
          <w:sz w:val="21"/>
          <w:szCs w:val="21"/>
          <w:shd w:val="clear" w:color="auto" w:fill="FFFFFF"/>
        </w:rPr>
        <w:t>with non-dormancy behavior</w:t>
      </w:r>
      <w:r w:rsidRPr="000B6052">
        <w:rPr>
          <w:rFonts w:ascii="Arial" w:hAnsi="Arial" w:cs="Arial"/>
          <w:b/>
          <w:sz w:val="21"/>
          <w:szCs w:val="21"/>
          <w:shd w:val="clear" w:color="auto" w:fill="FFFFFF"/>
        </w:rPr>
        <w:t xml:space="preserve"> with lowest BWP index</w:t>
      </w:r>
    </w:p>
    <w:p w14:paraId="012A2359" w14:textId="77777777" w:rsidR="00F60450" w:rsidRDefault="00F60450" w:rsidP="00F60450">
      <w:pPr>
        <w:pStyle w:val="af7"/>
        <w:numPr>
          <w:ilvl w:val="0"/>
          <w:numId w:val="37"/>
        </w:numPr>
        <w:autoSpaceDE w:val="0"/>
        <w:autoSpaceDN w:val="0"/>
        <w:spacing w:after="0" w:line="240" w:lineRule="auto"/>
        <w:rPr>
          <w:rFonts w:ascii="Arial" w:hAnsi="Arial" w:cs="Arial"/>
          <w:b/>
          <w:sz w:val="21"/>
          <w:szCs w:val="21"/>
          <w:shd w:val="clear" w:color="auto" w:fill="FFFFFF"/>
        </w:rPr>
      </w:pPr>
      <w:r w:rsidRPr="000B6052">
        <w:rPr>
          <w:rFonts w:ascii="Arial" w:hAnsi="Arial" w:cs="Arial"/>
          <w:b/>
          <w:sz w:val="21"/>
          <w:szCs w:val="21"/>
          <w:shd w:val="clear" w:color="auto" w:fill="FFFFFF"/>
        </w:rPr>
        <w:t>UE returns to the BWP</w:t>
      </w:r>
      <w:r>
        <w:rPr>
          <w:rFonts w:ascii="Arial" w:hAnsi="Arial" w:cs="Arial"/>
          <w:b/>
          <w:sz w:val="21"/>
          <w:szCs w:val="21"/>
          <w:shd w:val="clear" w:color="auto" w:fill="FFFFFF"/>
        </w:rPr>
        <w:t xml:space="preserve"> </w:t>
      </w:r>
      <w:r w:rsidRPr="004604B0">
        <w:rPr>
          <w:rFonts w:ascii="Arial" w:hAnsi="Arial" w:cs="Arial"/>
          <w:b/>
          <w:sz w:val="21"/>
          <w:szCs w:val="21"/>
          <w:shd w:val="clear" w:color="auto" w:fill="FFFFFF"/>
        </w:rPr>
        <w:t>with non-dormancy behavior</w:t>
      </w:r>
      <w:r w:rsidRPr="000B6052">
        <w:rPr>
          <w:rFonts w:ascii="Arial" w:hAnsi="Arial" w:cs="Arial"/>
          <w:b/>
          <w:sz w:val="21"/>
          <w:szCs w:val="21"/>
          <w:shd w:val="clear" w:color="auto" w:fill="FFFFFF"/>
        </w:rPr>
        <w:t xml:space="preserve"> with highest BWP index</w:t>
      </w:r>
    </w:p>
    <w:p w14:paraId="489AAE9A" w14:textId="77777777" w:rsidR="00F60450" w:rsidRDefault="00F60450" w:rsidP="00F60450">
      <w:pPr>
        <w:pStyle w:val="af7"/>
        <w:numPr>
          <w:ilvl w:val="0"/>
          <w:numId w:val="37"/>
        </w:numPr>
        <w:autoSpaceDE w:val="0"/>
        <w:autoSpaceDN w:val="0"/>
        <w:spacing w:after="0" w:line="240" w:lineRule="auto"/>
        <w:rPr>
          <w:rFonts w:ascii="Arial" w:hAnsi="Arial" w:cs="Arial"/>
          <w:b/>
          <w:sz w:val="21"/>
          <w:szCs w:val="21"/>
          <w:shd w:val="clear" w:color="auto" w:fill="FFFFFF"/>
        </w:rPr>
      </w:pPr>
      <w:r w:rsidRPr="000B6052">
        <w:rPr>
          <w:rFonts w:ascii="Arial" w:hAnsi="Arial" w:cs="Arial"/>
          <w:b/>
          <w:sz w:val="21"/>
          <w:szCs w:val="21"/>
          <w:shd w:val="clear" w:color="auto" w:fill="FFFFFF"/>
        </w:rPr>
        <w:lastRenderedPageBreak/>
        <w:t>UE returns to the BWP</w:t>
      </w:r>
      <w:r>
        <w:rPr>
          <w:rFonts w:ascii="Arial" w:hAnsi="Arial" w:cs="Arial"/>
          <w:b/>
          <w:sz w:val="21"/>
          <w:szCs w:val="21"/>
          <w:shd w:val="clear" w:color="auto" w:fill="FFFFFF"/>
        </w:rPr>
        <w:t xml:space="preserve"> </w:t>
      </w:r>
      <w:r w:rsidRPr="004604B0">
        <w:rPr>
          <w:rFonts w:ascii="Arial" w:hAnsi="Arial" w:cs="Arial"/>
          <w:b/>
          <w:sz w:val="21"/>
          <w:szCs w:val="21"/>
          <w:shd w:val="clear" w:color="auto" w:fill="FFFFFF"/>
        </w:rPr>
        <w:t>with non-dormancy behavior</w:t>
      </w:r>
      <w:r w:rsidRPr="000B6052">
        <w:rPr>
          <w:rFonts w:ascii="Arial" w:hAnsi="Arial" w:cs="Arial"/>
          <w:b/>
          <w:sz w:val="21"/>
          <w:szCs w:val="21"/>
          <w:shd w:val="clear" w:color="auto" w:fill="FFFFFF"/>
        </w:rPr>
        <w:t xml:space="preserve"> </w:t>
      </w:r>
      <w:r>
        <w:rPr>
          <w:rFonts w:ascii="Arial" w:hAnsi="Arial" w:cs="Arial"/>
          <w:b/>
          <w:sz w:val="21"/>
          <w:szCs w:val="21"/>
          <w:shd w:val="clear" w:color="auto" w:fill="FFFFFF"/>
        </w:rPr>
        <w:t xml:space="preserve">it resides before transiting into the </w:t>
      </w:r>
      <w:r w:rsidRPr="000B6052">
        <w:rPr>
          <w:rFonts w:ascii="Arial" w:hAnsi="Arial" w:cs="Arial"/>
          <w:b/>
          <w:sz w:val="21"/>
          <w:szCs w:val="21"/>
          <w:shd w:val="clear" w:color="auto" w:fill="FFFFFF"/>
        </w:rPr>
        <w:t>BWP</w:t>
      </w:r>
      <w:r>
        <w:rPr>
          <w:rFonts w:ascii="Arial" w:hAnsi="Arial" w:cs="Arial"/>
          <w:b/>
          <w:sz w:val="21"/>
          <w:szCs w:val="21"/>
          <w:shd w:val="clear" w:color="auto" w:fill="FFFFFF"/>
        </w:rPr>
        <w:t xml:space="preserve"> with </w:t>
      </w:r>
      <w:r w:rsidRPr="004604B0">
        <w:rPr>
          <w:rFonts w:ascii="Arial" w:hAnsi="Arial" w:cs="Arial"/>
          <w:b/>
          <w:sz w:val="21"/>
          <w:szCs w:val="21"/>
          <w:shd w:val="clear" w:color="auto" w:fill="FFFFFF"/>
        </w:rPr>
        <w:t>dormancy behavior</w:t>
      </w:r>
    </w:p>
    <w:p w14:paraId="7129164C" w14:textId="77777777" w:rsidR="00F60450" w:rsidRDefault="00F60450" w:rsidP="00F60450">
      <w:pPr>
        <w:ind w:right="72"/>
        <w:rPr>
          <w:rFonts w:cs="Arial"/>
          <w:b/>
        </w:rPr>
      </w:pPr>
    </w:p>
    <w:p w14:paraId="50494A6F" w14:textId="77777777" w:rsidR="00F60450" w:rsidRDefault="00F60450" w:rsidP="00F60450">
      <w:pPr>
        <w:autoSpaceDE w:val="0"/>
        <w:autoSpaceDN w:val="0"/>
        <w:spacing w:after="0" w:line="240" w:lineRule="auto"/>
        <w:rPr>
          <w:rFonts w:ascii="Arial" w:hAnsi="Arial" w:cs="Arial"/>
          <w:b/>
          <w:shd w:val="clear" w:color="auto" w:fill="FFFFFF"/>
        </w:rPr>
      </w:pPr>
      <w:r w:rsidRPr="0003374B">
        <w:rPr>
          <w:rFonts w:ascii="Arial" w:hAnsi="Arial" w:cs="Arial"/>
          <w:b/>
          <w:u w:val="single"/>
          <w:shd w:val="clear" w:color="auto" w:fill="FFFFFF"/>
        </w:rPr>
        <w:t>Proposal</w:t>
      </w:r>
      <w:r>
        <w:rPr>
          <w:rFonts w:ascii="Arial" w:hAnsi="Arial" w:cs="Arial"/>
          <w:b/>
          <w:u w:val="single"/>
          <w:shd w:val="clear" w:color="auto" w:fill="FFFFFF"/>
        </w:rPr>
        <w:t xml:space="preserve"> 6</w:t>
      </w:r>
      <w:r w:rsidRPr="0003374B">
        <w:rPr>
          <w:rFonts w:ascii="Arial" w:hAnsi="Arial" w:cs="Arial"/>
          <w:b/>
          <w:u w:val="single"/>
          <w:shd w:val="clear" w:color="auto" w:fill="FFFFFF"/>
        </w:rPr>
        <w:t>:</w:t>
      </w:r>
      <w:r w:rsidRPr="0003374B">
        <w:rPr>
          <w:b/>
        </w:rPr>
        <w:t xml:space="preserve"> </w:t>
      </w:r>
      <w:r>
        <w:rPr>
          <w:rFonts w:ascii="Arial" w:hAnsi="Arial" w:cs="Arial"/>
          <w:b/>
          <w:shd w:val="clear" w:color="auto" w:fill="FFFFFF"/>
        </w:rPr>
        <w:t>For each</w:t>
      </w:r>
      <w:r w:rsidRPr="0003374B">
        <w:rPr>
          <w:rFonts w:ascii="Arial" w:hAnsi="Arial" w:cs="Arial"/>
          <w:b/>
          <w:shd w:val="clear" w:color="auto" w:fill="FFFFFF"/>
        </w:rPr>
        <w:t xml:space="preserve"> SCell</w:t>
      </w:r>
      <w:r>
        <w:rPr>
          <w:rFonts w:ascii="Arial" w:hAnsi="Arial" w:cs="Arial"/>
          <w:b/>
          <w:shd w:val="clear" w:color="auto" w:fill="FFFFFF"/>
        </w:rPr>
        <w:t xml:space="preserve">, UE is configured with at most one </w:t>
      </w:r>
      <w:r w:rsidRPr="0003374B">
        <w:rPr>
          <w:rFonts w:ascii="Arial" w:hAnsi="Arial" w:cs="Arial"/>
          <w:b/>
          <w:shd w:val="clear" w:color="auto" w:fill="FFFFFF"/>
        </w:rPr>
        <w:t>BWP</w:t>
      </w:r>
      <w:r>
        <w:rPr>
          <w:rFonts w:ascii="Arial" w:hAnsi="Arial" w:cs="Arial"/>
          <w:b/>
          <w:shd w:val="clear" w:color="auto" w:fill="FFFFFF"/>
        </w:rPr>
        <w:t xml:space="preserve"> </w:t>
      </w:r>
      <w:r w:rsidRPr="004604B0">
        <w:rPr>
          <w:rFonts w:ascii="Arial" w:hAnsi="Arial" w:cs="Arial"/>
          <w:b/>
          <w:shd w:val="clear" w:color="auto" w:fill="FFFFFF"/>
        </w:rPr>
        <w:t>with dormancy behavior</w:t>
      </w:r>
      <w:r>
        <w:rPr>
          <w:rFonts w:ascii="Arial" w:hAnsi="Arial" w:cs="Arial"/>
          <w:b/>
          <w:shd w:val="clear" w:color="auto" w:fill="FFFFFF"/>
        </w:rPr>
        <w:t>.</w:t>
      </w:r>
    </w:p>
    <w:p w14:paraId="26B962A9" w14:textId="77777777" w:rsidR="00F60450" w:rsidRPr="00211BCD" w:rsidRDefault="00F60450" w:rsidP="00F60450">
      <w:pPr>
        <w:autoSpaceDE w:val="0"/>
        <w:autoSpaceDN w:val="0"/>
        <w:spacing w:after="0" w:line="240" w:lineRule="auto"/>
        <w:rPr>
          <w:rFonts w:ascii="Arial" w:hAnsi="Arial" w:cs="Arial"/>
          <w:b/>
          <w:shd w:val="clear" w:color="auto" w:fill="FFFFFF"/>
        </w:rPr>
      </w:pPr>
    </w:p>
    <w:p w14:paraId="310ABB2C" w14:textId="77777777" w:rsidR="00F60450" w:rsidRDefault="00F60450" w:rsidP="00F60450">
      <w:pPr>
        <w:ind w:right="72"/>
        <w:rPr>
          <w:rFonts w:ascii="Arial" w:hAnsi="Arial" w:cs="Arial"/>
        </w:rPr>
      </w:pPr>
      <w:r w:rsidRPr="00F55FFC">
        <w:rPr>
          <w:rFonts w:ascii="Arial" w:hAnsi="Arial" w:cs="Arial"/>
          <w:b/>
          <w:i/>
          <w:u w:val="single"/>
        </w:rPr>
        <w:t>P</w:t>
      </w:r>
      <w:r>
        <w:rPr>
          <w:rFonts w:ascii="Arial" w:hAnsi="Arial" w:cs="Arial"/>
          <w:b/>
          <w:i/>
          <w:u w:val="single"/>
        </w:rPr>
        <w:t>roposal 7</w:t>
      </w:r>
      <w:r w:rsidRPr="00F55FFC">
        <w:rPr>
          <w:rFonts w:ascii="Arial" w:hAnsi="Arial" w:cs="Arial"/>
          <w:b/>
          <w:i/>
          <w:u w:val="single"/>
        </w:rPr>
        <w:t>:</w:t>
      </w:r>
      <w:r w:rsidRPr="00F116B8">
        <w:rPr>
          <w:rFonts w:ascii="Arial" w:hAnsi="Arial" w:cs="Arial"/>
          <w:b/>
        </w:rPr>
        <w:t xml:space="preserve"> </w:t>
      </w:r>
      <w:r w:rsidRPr="00F116B8">
        <w:rPr>
          <w:rFonts w:ascii="Arial" w:eastAsia="MS Mincho" w:hAnsi="Arial" w:cs="Arial"/>
          <w:b/>
          <w:lang w:eastAsia="ja-JP"/>
        </w:rPr>
        <w:t xml:space="preserve">BWP-based </w:t>
      </w:r>
      <w:r>
        <w:rPr>
          <w:rFonts w:ascii="Arial" w:eastAsia="MS Mincho" w:hAnsi="Arial" w:cs="Arial"/>
          <w:b/>
          <w:lang w:eastAsia="ja-JP"/>
        </w:rPr>
        <w:t>framework should be used</w:t>
      </w:r>
      <w:r w:rsidRPr="00F116B8">
        <w:rPr>
          <w:rFonts w:ascii="Arial" w:eastAsia="MS Mincho" w:hAnsi="Arial" w:cs="Arial"/>
          <w:b/>
          <w:lang w:eastAsia="ja-JP"/>
        </w:rPr>
        <w:t xml:space="preserve"> to support dormancy behaviour on SCell (s)</w:t>
      </w:r>
      <w:r>
        <w:rPr>
          <w:rFonts w:ascii="Arial" w:hAnsi="Arial" w:cs="Arial"/>
          <w:b/>
        </w:rPr>
        <w:t xml:space="preserve"> outside active time to minimize spec impact</w:t>
      </w:r>
      <w:r w:rsidRPr="00F116B8">
        <w:rPr>
          <w:rFonts w:ascii="Arial" w:hAnsi="Arial" w:cs="Arial"/>
          <w:b/>
        </w:rPr>
        <w:t>.</w:t>
      </w:r>
    </w:p>
    <w:p w14:paraId="03BB4F4B" w14:textId="2E5E42C1" w:rsidR="00F60450" w:rsidRPr="004604B0" w:rsidRDefault="00F60450" w:rsidP="00F60450">
      <w:pPr>
        <w:jc w:val="both"/>
        <w:rPr>
          <w:rFonts w:ascii="Arial" w:eastAsia="MS Mincho" w:hAnsi="Arial" w:cs="Arial"/>
          <w:b/>
          <w:lang w:eastAsia="ja-JP"/>
        </w:rPr>
      </w:pPr>
      <w:r>
        <w:rPr>
          <w:rFonts w:ascii="Arial" w:hAnsi="Arial" w:cs="Arial"/>
          <w:b/>
          <w:i/>
          <w:u w:val="single"/>
        </w:rPr>
        <w:t>Proposal 8</w:t>
      </w:r>
      <w:r w:rsidRPr="00F55FFC">
        <w:rPr>
          <w:rFonts w:ascii="Arial" w:hAnsi="Arial" w:cs="Arial"/>
          <w:b/>
          <w:i/>
          <w:u w:val="single"/>
        </w:rPr>
        <w:t>:</w:t>
      </w:r>
      <w:r w:rsidRPr="00F116B8">
        <w:rPr>
          <w:rFonts w:ascii="Arial" w:hAnsi="Arial" w:cs="Arial"/>
          <w:b/>
        </w:rPr>
        <w:t xml:space="preserve"> </w:t>
      </w:r>
      <w:r w:rsidRPr="0003514F">
        <w:rPr>
          <w:rFonts w:ascii="Arial" w:eastAsia="MS Mincho" w:hAnsi="Arial" w:cs="Arial"/>
          <w:b/>
          <w:lang w:eastAsia="ja-JP"/>
        </w:rPr>
        <w:t xml:space="preserve">Add a </w:t>
      </w:r>
      <w:r w:rsidRPr="00E7414A">
        <w:rPr>
          <w:rFonts w:ascii="Arial" w:eastAsia="MS Mincho" w:hAnsi="Arial" w:cs="Arial"/>
          <w:b/>
          <w:i/>
          <w:lang w:eastAsia="ja-JP"/>
        </w:rPr>
        <w:t>Scell-group-id-for-dormancy-outside-active-time</w:t>
      </w:r>
      <w:r w:rsidRPr="0003514F">
        <w:rPr>
          <w:rFonts w:ascii="Arial" w:eastAsia="MS Mincho" w:hAnsi="Arial" w:cs="Arial"/>
          <w:b/>
          <w:lang w:eastAsia="ja-JP"/>
        </w:rPr>
        <w:t xml:space="preserve"> IE to each SCell during RRC configuration</w:t>
      </w:r>
      <w:r>
        <w:rPr>
          <w:rFonts w:ascii="Arial" w:eastAsia="MS Mincho" w:hAnsi="Arial" w:cs="Arial"/>
          <w:b/>
          <w:lang w:eastAsia="ja-JP"/>
        </w:rPr>
        <w:t xml:space="preserve"> to achieve SCell grouping for indication of dormancy outside active time. </w:t>
      </w:r>
    </w:p>
    <w:p w14:paraId="43DDAE96" w14:textId="77777777" w:rsidR="00F60450" w:rsidRDefault="00F60450" w:rsidP="00F60450">
      <w:pPr>
        <w:jc w:val="both"/>
        <w:rPr>
          <w:rFonts w:ascii="Arial" w:eastAsia="MS Mincho" w:hAnsi="Arial" w:cs="Arial"/>
          <w:b/>
          <w:sz w:val="28"/>
          <w:szCs w:val="28"/>
        </w:rPr>
      </w:pPr>
      <w:r>
        <w:rPr>
          <w:rFonts w:ascii="Arial" w:hAnsi="Arial" w:cs="Arial"/>
          <w:b/>
          <w:i/>
          <w:u w:val="single"/>
        </w:rPr>
        <w:t>Proposal 9</w:t>
      </w:r>
      <w:r w:rsidRPr="00F55FFC">
        <w:rPr>
          <w:rFonts w:ascii="Arial" w:hAnsi="Arial" w:cs="Arial"/>
          <w:b/>
          <w:i/>
          <w:u w:val="single"/>
        </w:rPr>
        <w:t>:</w:t>
      </w:r>
      <w:r w:rsidRPr="00F116B8">
        <w:rPr>
          <w:rFonts w:ascii="Arial" w:hAnsi="Arial" w:cs="Arial"/>
          <w:b/>
        </w:rPr>
        <w:t xml:space="preserve"> </w:t>
      </w:r>
      <w:r w:rsidRPr="009F572D">
        <w:rPr>
          <w:rFonts w:ascii="Arial" w:eastAsia="MS Mincho" w:hAnsi="Arial" w:cs="Arial"/>
          <w:b/>
          <w:lang w:eastAsia="ja-JP"/>
        </w:rPr>
        <w:t xml:space="preserve">When the UE is outside Active Time, the explicit information field for the UE in the PDCCH WUS </w:t>
      </w:r>
      <w:r>
        <w:rPr>
          <w:rFonts w:ascii="Arial" w:eastAsia="MS Mincho" w:hAnsi="Arial" w:cs="Arial"/>
          <w:b/>
          <w:lang w:eastAsia="ja-JP"/>
        </w:rPr>
        <w:t xml:space="preserve">to </w:t>
      </w:r>
      <w:r w:rsidRPr="009F572D">
        <w:rPr>
          <w:rFonts w:ascii="Arial" w:eastAsia="MS Mincho" w:hAnsi="Arial" w:cs="Arial"/>
          <w:b/>
          <w:lang w:eastAsia="ja-JP"/>
        </w:rPr>
        <w:t>indicate transition from ’dormancy-like’ to ’</w:t>
      </w:r>
      <w:r>
        <w:rPr>
          <w:rFonts w:ascii="Arial" w:eastAsia="MS Mincho" w:hAnsi="Arial" w:cs="Arial"/>
          <w:b/>
          <w:lang w:eastAsia="ja-JP"/>
        </w:rPr>
        <w:t>non-dormancy-</w:t>
      </w:r>
      <w:r w:rsidRPr="009F572D">
        <w:rPr>
          <w:rFonts w:ascii="Arial" w:eastAsia="MS Mincho" w:hAnsi="Arial" w:cs="Arial"/>
          <w:b/>
          <w:lang w:eastAsia="ja-JP"/>
        </w:rPr>
        <w:t>like’ behaviour</w:t>
      </w:r>
      <w:r>
        <w:rPr>
          <w:rFonts w:ascii="Arial" w:eastAsia="MS Mincho" w:hAnsi="Arial" w:cs="Arial"/>
          <w:b/>
          <w:lang w:eastAsia="ja-JP"/>
        </w:rPr>
        <w:t xml:space="preserve"> is also </w:t>
      </w:r>
      <w:r w:rsidRPr="009F572D">
        <w:rPr>
          <w:rFonts w:ascii="Arial" w:eastAsia="MS Mincho" w:hAnsi="Arial" w:cs="Arial"/>
          <w:b/>
          <w:lang w:eastAsia="ja-JP"/>
        </w:rPr>
        <w:t>used to indicate transition from ’non-dormancy-like’ to ’dormancy</w:t>
      </w:r>
      <w:r>
        <w:rPr>
          <w:rFonts w:ascii="Arial" w:eastAsia="MS Mincho" w:hAnsi="Arial" w:cs="Arial"/>
          <w:b/>
          <w:lang w:eastAsia="ja-JP"/>
        </w:rPr>
        <w:t xml:space="preserve"> like’ behaviour on activated SC</w:t>
      </w:r>
      <w:r w:rsidRPr="009F572D">
        <w:rPr>
          <w:rFonts w:ascii="Arial" w:eastAsia="MS Mincho" w:hAnsi="Arial" w:cs="Arial"/>
          <w:b/>
          <w:lang w:eastAsia="ja-JP"/>
        </w:rPr>
        <w:t>ells.</w:t>
      </w:r>
      <w:r>
        <w:rPr>
          <w:rFonts w:ascii="Arial" w:eastAsia="MS Mincho" w:hAnsi="Arial" w:cs="Arial"/>
          <w:b/>
          <w:lang w:eastAsia="ja-JP"/>
        </w:rPr>
        <w:t xml:space="preserve"> </w:t>
      </w:r>
    </w:p>
    <w:p w14:paraId="2A7F8F21" w14:textId="77777777" w:rsidR="00F60450" w:rsidRDefault="00F60450" w:rsidP="00F60450">
      <w:pPr>
        <w:jc w:val="both"/>
        <w:rPr>
          <w:rFonts w:ascii="Arial" w:eastAsia="MS Mincho" w:hAnsi="Arial" w:cs="Arial"/>
          <w:b/>
          <w:lang w:eastAsia="ja-JP"/>
        </w:rPr>
      </w:pPr>
      <w:r>
        <w:rPr>
          <w:rFonts w:ascii="Arial" w:hAnsi="Arial" w:cs="Arial"/>
          <w:b/>
          <w:i/>
          <w:u w:val="single"/>
        </w:rPr>
        <w:t>Proposal 10</w:t>
      </w:r>
      <w:r w:rsidRPr="00F55FFC">
        <w:rPr>
          <w:rFonts w:ascii="Arial" w:hAnsi="Arial" w:cs="Arial"/>
          <w:b/>
          <w:i/>
          <w:u w:val="single"/>
        </w:rPr>
        <w:t>:</w:t>
      </w:r>
      <w:r w:rsidRPr="00F116B8">
        <w:rPr>
          <w:rFonts w:ascii="Arial" w:hAnsi="Arial" w:cs="Arial"/>
          <w:b/>
        </w:rPr>
        <w:t xml:space="preserve"> </w:t>
      </w:r>
      <w:r w:rsidRPr="00BA3174">
        <w:rPr>
          <w:rFonts w:ascii="Arial" w:eastAsia="MS Mincho" w:hAnsi="Arial" w:cs="Arial"/>
          <w:b/>
          <w:lang w:eastAsia="ja-JP"/>
        </w:rPr>
        <w:t>UE should report suggested SCells group information (which SCells share the same RF chain) to gNB for more efficient dormancy indication and achieve better UE power saving.</w:t>
      </w:r>
    </w:p>
    <w:p w14:paraId="5CDFF98E" w14:textId="1775B573" w:rsidR="00F873F6" w:rsidRPr="00BA3174" w:rsidRDefault="00F873F6" w:rsidP="00F60450">
      <w:pPr>
        <w:jc w:val="both"/>
        <w:rPr>
          <w:rFonts w:ascii="Arial" w:eastAsia="MS Mincho" w:hAnsi="Arial" w:cs="Arial"/>
          <w:b/>
          <w:sz w:val="28"/>
          <w:szCs w:val="28"/>
        </w:rPr>
      </w:pPr>
      <w:r>
        <w:rPr>
          <w:rFonts w:ascii="Arial" w:hAnsi="Arial" w:cs="Arial"/>
          <w:b/>
          <w:i/>
          <w:u w:val="single"/>
        </w:rPr>
        <w:t>Observation 1</w:t>
      </w:r>
      <w:r w:rsidRPr="00F55FFC">
        <w:rPr>
          <w:rFonts w:ascii="Arial" w:hAnsi="Arial" w:cs="Arial"/>
          <w:b/>
          <w:i/>
          <w:u w:val="single"/>
        </w:rPr>
        <w:t>:</w:t>
      </w:r>
      <w:r w:rsidRPr="00F116B8">
        <w:rPr>
          <w:rFonts w:ascii="Arial" w:hAnsi="Arial" w:cs="Arial"/>
          <w:b/>
        </w:rPr>
        <w:t xml:space="preserve"> </w:t>
      </w:r>
      <w:r>
        <w:rPr>
          <w:rFonts w:ascii="Arial" w:eastAsia="MS Mincho" w:hAnsi="Arial" w:cs="Arial"/>
          <w:b/>
          <w:lang w:eastAsia="ja-JP"/>
        </w:rPr>
        <w:t>Based on current RAN2 agreement, UE would not perform</w:t>
      </w:r>
      <w:r w:rsidRPr="001424C0">
        <w:rPr>
          <w:rFonts w:ascii="Arial" w:eastAsia="MS Mincho" w:hAnsi="Arial" w:cs="Arial"/>
          <w:b/>
          <w:lang w:eastAsia="ja-JP"/>
        </w:rPr>
        <w:t xml:space="preserve"> P/SP SRS</w:t>
      </w:r>
      <w:r>
        <w:rPr>
          <w:rFonts w:ascii="Arial" w:eastAsia="MS Mincho" w:hAnsi="Arial" w:cs="Arial"/>
          <w:b/>
          <w:lang w:eastAsia="ja-JP"/>
        </w:rPr>
        <w:t xml:space="preserve"> transmission</w:t>
      </w:r>
      <w:r w:rsidRPr="001424C0">
        <w:rPr>
          <w:rFonts w:ascii="Arial" w:eastAsia="MS Mincho" w:hAnsi="Arial" w:cs="Arial"/>
          <w:b/>
          <w:lang w:eastAsia="ja-JP"/>
        </w:rPr>
        <w:t xml:space="preserve"> and CSI</w:t>
      </w:r>
      <w:r>
        <w:rPr>
          <w:rFonts w:ascii="Arial" w:eastAsia="MS Mincho" w:hAnsi="Arial" w:cs="Arial"/>
          <w:b/>
          <w:lang w:eastAsia="ja-JP"/>
        </w:rPr>
        <w:t xml:space="preserve"> report</w:t>
      </w:r>
      <w:r w:rsidRPr="001424C0">
        <w:rPr>
          <w:rFonts w:ascii="Arial" w:eastAsia="MS Mincho" w:hAnsi="Arial" w:cs="Arial"/>
          <w:b/>
          <w:lang w:eastAsia="ja-JP"/>
        </w:rPr>
        <w:t xml:space="preserve"> during the next on-duration if PDCCH-WUS does not wake the UE up. </w:t>
      </w:r>
      <w:r>
        <w:rPr>
          <w:rFonts w:ascii="Arial" w:eastAsia="MS Mincho" w:hAnsi="Arial" w:cs="Arial"/>
          <w:b/>
          <w:lang w:eastAsia="ja-JP"/>
        </w:rPr>
        <w:t>I</w:t>
      </w:r>
      <w:r w:rsidRPr="001424C0">
        <w:rPr>
          <w:rFonts w:ascii="Arial" w:eastAsia="MS Mincho" w:hAnsi="Arial" w:cs="Arial"/>
          <w:b/>
          <w:lang w:eastAsia="ja-JP"/>
        </w:rPr>
        <w:t xml:space="preserve">n order to maintain link quality, UE may be forced to be waken up periodically to start drx-onDurationTimer for </w:t>
      </w:r>
      <w:r w:rsidRPr="00CD146C">
        <w:rPr>
          <w:rFonts w:ascii="Arial" w:eastAsia="MS Mincho" w:hAnsi="Arial" w:cs="Arial"/>
          <w:b/>
          <w:lang w:eastAsia="ja-JP"/>
        </w:rPr>
        <w:t>P/SP CSI report and SRS transmission</w:t>
      </w:r>
      <w:r w:rsidRPr="001424C0">
        <w:rPr>
          <w:rFonts w:ascii="Arial" w:eastAsia="MS Mincho" w:hAnsi="Arial" w:cs="Arial"/>
          <w:b/>
          <w:lang w:eastAsia="ja-JP"/>
        </w:rPr>
        <w:t xml:space="preserve"> even if there is no data for the UE. This will conflict the benefit of introducing WUS regarding the need of link maintenance.</w:t>
      </w:r>
    </w:p>
    <w:p w14:paraId="0EB708D7" w14:textId="77777777" w:rsidR="00F873F6" w:rsidRPr="00416B32" w:rsidRDefault="00F873F6" w:rsidP="00F873F6">
      <w:pPr>
        <w:pStyle w:val="Doc-text2"/>
        <w:tabs>
          <w:tab w:val="left" w:pos="340"/>
        </w:tabs>
        <w:spacing w:before="120" w:after="120"/>
        <w:ind w:left="0" w:firstLine="0"/>
        <w:jc w:val="both"/>
        <w:rPr>
          <w:rFonts w:cs="Arial"/>
          <w:b/>
          <w:sz w:val="22"/>
          <w:lang w:eastAsia="ja-JP"/>
        </w:rPr>
      </w:pPr>
      <w:r>
        <w:rPr>
          <w:rFonts w:cs="Arial"/>
          <w:b/>
          <w:i/>
          <w:sz w:val="22"/>
          <w:u w:val="single"/>
        </w:rPr>
        <w:t>Proposal 11</w:t>
      </w:r>
      <w:r w:rsidRPr="00416B32">
        <w:rPr>
          <w:rFonts w:cs="Arial"/>
          <w:b/>
          <w:i/>
          <w:sz w:val="22"/>
          <w:u w:val="single"/>
        </w:rPr>
        <w:t>:</w:t>
      </w:r>
      <w:r w:rsidRPr="00416B32">
        <w:rPr>
          <w:rFonts w:cs="Arial"/>
          <w:b/>
          <w:sz w:val="22"/>
        </w:rPr>
        <w:t xml:space="preserve"> </w:t>
      </w:r>
      <w:r w:rsidRPr="00416B32">
        <w:rPr>
          <w:rFonts w:cs="Arial"/>
          <w:b/>
          <w:sz w:val="22"/>
          <w:lang w:eastAsia="ja-JP"/>
        </w:rPr>
        <w:t xml:space="preserve">One additional dedicated bit </w:t>
      </w:r>
      <w:r>
        <w:rPr>
          <w:rFonts w:cs="Arial"/>
          <w:b/>
          <w:sz w:val="22"/>
          <w:lang w:eastAsia="ja-JP"/>
        </w:rPr>
        <w:t xml:space="preserve">is added to the PDCCH </w:t>
      </w:r>
      <w:r w:rsidRPr="00416B32">
        <w:rPr>
          <w:rFonts w:cs="Arial"/>
          <w:b/>
          <w:sz w:val="22"/>
          <w:lang w:eastAsia="ja-JP"/>
        </w:rPr>
        <w:t>to distinguish Case 1 and Case 2.</w:t>
      </w:r>
    </w:p>
    <w:p w14:paraId="4D1E639D" w14:textId="77777777" w:rsidR="00F60450" w:rsidRPr="00416B32" w:rsidRDefault="00F60450" w:rsidP="00F60450">
      <w:pPr>
        <w:pStyle w:val="Doc-text2"/>
        <w:tabs>
          <w:tab w:val="left" w:pos="340"/>
        </w:tabs>
        <w:spacing w:before="120" w:after="120"/>
        <w:ind w:left="0" w:firstLine="0"/>
        <w:jc w:val="both"/>
        <w:rPr>
          <w:rFonts w:cs="Arial"/>
          <w:b/>
          <w:sz w:val="22"/>
          <w:lang w:eastAsia="ja-JP"/>
        </w:rPr>
      </w:pPr>
      <w:r>
        <w:rPr>
          <w:rFonts w:cs="Arial"/>
          <w:b/>
          <w:i/>
          <w:sz w:val="22"/>
          <w:u w:val="single"/>
        </w:rPr>
        <w:t>Proposal 12</w:t>
      </w:r>
      <w:r w:rsidRPr="00416B32">
        <w:rPr>
          <w:rFonts w:cs="Arial"/>
          <w:b/>
          <w:i/>
          <w:sz w:val="22"/>
          <w:u w:val="single"/>
        </w:rPr>
        <w:t>:</w:t>
      </w:r>
      <w:r w:rsidRPr="00416B32">
        <w:rPr>
          <w:rFonts w:cs="Arial"/>
          <w:b/>
          <w:sz w:val="22"/>
        </w:rPr>
        <w:t xml:space="preserve"> </w:t>
      </w:r>
      <w:r>
        <w:rPr>
          <w:rFonts w:cs="Arial"/>
          <w:b/>
          <w:sz w:val="22"/>
          <w:lang w:eastAsia="ja-JP"/>
        </w:rPr>
        <w:t xml:space="preserve">For </w:t>
      </w:r>
      <w:r w:rsidRPr="002548A3">
        <w:rPr>
          <w:rFonts w:cs="Arial" w:hint="eastAsia"/>
          <w:b/>
          <w:sz w:val="22"/>
          <w:lang w:eastAsia="ja-JP"/>
        </w:rPr>
        <w:t xml:space="preserve">Case 2 </w:t>
      </w:r>
      <w:r>
        <w:rPr>
          <w:rFonts w:cs="Arial"/>
          <w:b/>
          <w:sz w:val="22"/>
          <w:lang w:eastAsia="ja-JP"/>
        </w:rPr>
        <w:t xml:space="preserve">non-scheduling DCI, add two additional bits for </w:t>
      </w:r>
      <w:r w:rsidRPr="002548A3">
        <w:rPr>
          <w:rFonts w:cs="Arial"/>
          <w:b/>
          <w:sz w:val="22"/>
          <w:lang w:eastAsia="ja-JP"/>
        </w:rPr>
        <w:t>PCell BWP switching</w:t>
      </w:r>
      <w:r>
        <w:rPr>
          <w:rFonts w:cs="Arial"/>
          <w:b/>
          <w:sz w:val="22"/>
          <w:lang w:eastAsia="ja-JP"/>
        </w:rPr>
        <w:t xml:space="preserve"> to avoid </w:t>
      </w:r>
      <w:r w:rsidRPr="007B5FC6">
        <w:rPr>
          <w:rFonts w:cs="Arial"/>
          <w:b/>
          <w:sz w:val="22"/>
          <w:lang w:eastAsia="ja-JP"/>
        </w:rPr>
        <w:t>two periods of BWP switch delay and interruption time.</w:t>
      </w:r>
    </w:p>
    <w:p w14:paraId="21E06450" w14:textId="77777777" w:rsidR="00F60450" w:rsidRPr="00762F13" w:rsidRDefault="00F60450" w:rsidP="00F60450">
      <w:pPr>
        <w:pStyle w:val="Doc-text2"/>
        <w:tabs>
          <w:tab w:val="left" w:pos="340"/>
        </w:tabs>
        <w:spacing w:before="120" w:after="120"/>
        <w:ind w:left="0" w:firstLine="0"/>
        <w:jc w:val="both"/>
        <w:rPr>
          <w:rFonts w:cs="Arial"/>
          <w:b/>
          <w:sz w:val="22"/>
          <w:lang w:eastAsia="ja-JP"/>
        </w:rPr>
      </w:pPr>
      <w:r>
        <w:rPr>
          <w:rFonts w:cs="Arial"/>
          <w:b/>
          <w:i/>
          <w:sz w:val="22"/>
          <w:u w:val="single"/>
        </w:rPr>
        <w:t>Proposal 13</w:t>
      </w:r>
      <w:r w:rsidRPr="00416B32">
        <w:rPr>
          <w:rFonts w:cs="Arial"/>
          <w:b/>
          <w:i/>
          <w:sz w:val="22"/>
          <w:u w:val="single"/>
        </w:rPr>
        <w:t>:</w:t>
      </w:r>
      <w:r w:rsidRPr="00416B32">
        <w:rPr>
          <w:rFonts w:cs="Arial"/>
          <w:b/>
          <w:sz w:val="22"/>
        </w:rPr>
        <w:t xml:space="preserve"> </w:t>
      </w:r>
      <w:r w:rsidRPr="008437D1">
        <w:rPr>
          <w:rFonts w:cs="Arial"/>
          <w:b/>
          <w:sz w:val="22"/>
          <w:lang w:eastAsia="ja-JP"/>
        </w:rPr>
        <w:t>The remaining bits of Case 2 can be used to specify the SCell (s) bundle relation (including SCells grouping or SCells configuration state) for Case 1 to maintain same SCell (s) control flexibility as current CA framework.</w:t>
      </w:r>
    </w:p>
    <w:p w14:paraId="38752894" w14:textId="77777777" w:rsidR="00F60450" w:rsidRPr="00762F13" w:rsidRDefault="00F60450" w:rsidP="00F60450">
      <w:pPr>
        <w:pStyle w:val="Doc-text2"/>
        <w:tabs>
          <w:tab w:val="left" w:pos="340"/>
        </w:tabs>
        <w:spacing w:before="120" w:after="120"/>
        <w:ind w:left="0" w:firstLine="0"/>
        <w:jc w:val="both"/>
        <w:rPr>
          <w:rFonts w:cs="Arial"/>
          <w:b/>
          <w:sz w:val="22"/>
          <w:lang w:eastAsia="ja-JP"/>
        </w:rPr>
      </w:pPr>
      <w:r>
        <w:rPr>
          <w:rFonts w:cs="Arial"/>
          <w:b/>
          <w:i/>
          <w:sz w:val="22"/>
          <w:u w:val="single"/>
        </w:rPr>
        <w:t>Proposal 14</w:t>
      </w:r>
      <w:r w:rsidRPr="00416B32">
        <w:rPr>
          <w:rFonts w:cs="Arial"/>
          <w:b/>
          <w:i/>
          <w:sz w:val="22"/>
          <w:u w:val="single"/>
        </w:rPr>
        <w:t>:</w:t>
      </w:r>
      <w:r w:rsidRPr="00416B32">
        <w:rPr>
          <w:rFonts w:cs="Arial"/>
          <w:b/>
          <w:sz w:val="22"/>
        </w:rPr>
        <w:t xml:space="preserve"> </w:t>
      </w:r>
      <w:r>
        <w:rPr>
          <w:rFonts w:cs="Arial"/>
          <w:b/>
          <w:sz w:val="22"/>
          <w:lang w:eastAsia="ja-JP"/>
        </w:rPr>
        <w:t xml:space="preserve">For the Case 2 non-scheduling DCI indicating SCells dormancy, </w:t>
      </w:r>
      <w:r w:rsidRPr="00442C2A">
        <w:rPr>
          <w:rFonts w:cs="Arial"/>
          <w:b/>
          <w:sz w:val="22"/>
          <w:lang w:eastAsia="ja-JP"/>
        </w:rPr>
        <w:t>UE return</w:t>
      </w:r>
      <w:r>
        <w:rPr>
          <w:rFonts w:cs="Arial"/>
          <w:b/>
          <w:sz w:val="22"/>
          <w:lang w:eastAsia="ja-JP"/>
        </w:rPr>
        <w:t>s</w:t>
      </w:r>
      <w:r w:rsidRPr="00442C2A">
        <w:rPr>
          <w:rFonts w:cs="Arial"/>
          <w:b/>
          <w:sz w:val="22"/>
          <w:lang w:eastAsia="ja-JP"/>
        </w:rPr>
        <w:t xml:space="preserve"> the HAR</w:t>
      </w:r>
      <w:r>
        <w:rPr>
          <w:rFonts w:cs="Arial"/>
          <w:b/>
          <w:sz w:val="22"/>
          <w:lang w:eastAsia="ja-JP"/>
        </w:rPr>
        <w:t>Q ACK/NACK just like the DL</w:t>
      </w:r>
      <w:r w:rsidRPr="00442C2A">
        <w:rPr>
          <w:rFonts w:cs="Arial"/>
          <w:b/>
          <w:sz w:val="22"/>
          <w:lang w:eastAsia="ja-JP"/>
        </w:rPr>
        <w:t xml:space="preserve"> scheduling DCI following the current K0/K1 settings.</w:t>
      </w:r>
    </w:p>
    <w:p w14:paraId="01A2959A" w14:textId="2734B426" w:rsidR="00F60450" w:rsidRDefault="00F60450" w:rsidP="00F60450">
      <w:pPr>
        <w:jc w:val="both"/>
        <w:rPr>
          <w:rFonts w:ascii="Arial" w:hAnsi="Arial" w:cs="Arial"/>
          <w:b/>
        </w:rPr>
      </w:pPr>
      <w:r>
        <w:rPr>
          <w:rFonts w:ascii="Arial" w:hAnsi="Arial" w:cs="Arial"/>
          <w:b/>
          <w:i/>
          <w:u w:val="single"/>
        </w:rPr>
        <w:lastRenderedPageBreak/>
        <w:t>Proposal 15</w:t>
      </w:r>
      <w:r w:rsidRPr="00F55FFC">
        <w:rPr>
          <w:rFonts w:ascii="Arial" w:hAnsi="Arial" w:cs="Arial"/>
          <w:b/>
          <w:i/>
          <w:u w:val="single"/>
        </w:rPr>
        <w:t>:</w:t>
      </w:r>
      <w:r w:rsidRPr="00F116B8">
        <w:rPr>
          <w:rFonts w:ascii="Arial" w:hAnsi="Arial" w:cs="Arial"/>
          <w:b/>
        </w:rPr>
        <w:t xml:space="preserve"> </w:t>
      </w:r>
      <w:r>
        <w:rPr>
          <w:rFonts w:ascii="Arial" w:hAnsi="Arial" w:cs="Arial"/>
          <w:b/>
        </w:rPr>
        <w:t xml:space="preserve">For group-based SCell (s) dormancy indication inside active time, </w:t>
      </w:r>
      <w:r w:rsidRPr="009A2754">
        <w:rPr>
          <w:rFonts w:ascii="Arial" w:hAnsi="Arial" w:cs="Arial"/>
          <w:b/>
        </w:rPr>
        <w:t xml:space="preserve">add a new RRC parameter </w:t>
      </w:r>
      <w:r w:rsidRPr="009A2754">
        <w:rPr>
          <w:rFonts w:ascii="Arial" w:hAnsi="Arial" w:cs="Arial"/>
          <w:b/>
          <w:i/>
        </w:rPr>
        <w:t>Scell-groups-for-dormancy-inside-active-time</w:t>
      </w:r>
      <w:r w:rsidRPr="009A2754">
        <w:rPr>
          <w:rFonts w:ascii="Arial" w:hAnsi="Arial" w:cs="Arial"/>
          <w:b/>
        </w:rPr>
        <w:t xml:space="preserve"> to configure the number of SCell groups used for dormancy indication inside active time. To specify which SCell belongs to which SCell group, </w:t>
      </w:r>
      <w:r>
        <w:rPr>
          <w:rFonts w:ascii="Arial" w:hAnsi="Arial" w:cs="Arial"/>
          <w:b/>
        </w:rPr>
        <w:t xml:space="preserve">add </w:t>
      </w:r>
      <w:r w:rsidRPr="009A2754">
        <w:rPr>
          <w:rFonts w:ascii="Arial" w:hAnsi="Arial" w:cs="Arial"/>
          <w:b/>
        </w:rPr>
        <w:t xml:space="preserve">a </w:t>
      </w:r>
      <w:r w:rsidRPr="009A2754">
        <w:rPr>
          <w:rFonts w:ascii="Arial" w:hAnsi="Arial" w:cs="Arial"/>
          <w:b/>
          <w:i/>
        </w:rPr>
        <w:t>Scell-group-id-for-dormancy-inside-active-time</w:t>
      </w:r>
      <w:r w:rsidRPr="009A2754">
        <w:rPr>
          <w:rFonts w:ascii="Arial" w:hAnsi="Arial" w:cs="Arial"/>
          <w:b/>
        </w:rPr>
        <w:t xml:space="preserve"> IE to each SCell during RRC configuration. </w:t>
      </w:r>
      <w:r>
        <w:rPr>
          <w:rFonts w:ascii="Arial" w:hAnsi="Arial" w:cs="Arial"/>
          <w:b/>
        </w:rPr>
        <w:t>T</w:t>
      </w:r>
      <w:r w:rsidRPr="009A2754">
        <w:rPr>
          <w:rFonts w:ascii="Arial" w:hAnsi="Arial" w:cs="Arial"/>
          <w:b/>
        </w:rPr>
        <w:t xml:space="preserve">he SCell grouping is </w:t>
      </w:r>
      <w:r>
        <w:rPr>
          <w:rFonts w:ascii="Arial" w:hAnsi="Arial" w:cs="Arial"/>
          <w:b/>
        </w:rPr>
        <w:t xml:space="preserve">then </w:t>
      </w:r>
      <w:r w:rsidRPr="009A2754">
        <w:rPr>
          <w:rFonts w:ascii="Arial" w:hAnsi="Arial" w:cs="Arial"/>
          <w:b/>
        </w:rPr>
        <w:t>not affected by the SCells addition/release of other SCells.</w:t>
      </w:r>
    </w:p>
    <w:p w14:paraId="5551F4A2" w14:textId="77777777" w:rsidR="00F60450" w:rsidRDefault="00F60450" w:rsidP="00F60450">
      <w:pPr>
        <w:pStyle w:val="Doc-text2"/>
        <w:tabs>
          <w:tab w:val="left" w:pos="340"/>
        </w:tabs>
        <w:spacing w:before="120" w:after="120"/>
        <w:ind w:left="0" w:firstLine="0"/>
        <w:jc w:val="both"/>
        <w:rPr>
          <w:rFonts w:eastAsiaTheme="minorEastAsia" w:cs="Arial"/>
          <w:sz w:val="22"/>
          <w:lang w:eastAsia="zh-TW"/>
        </w:rPr>
      </w:pPr>
    </w:p>
    <w:p w14:paraId="71D42F6F" w14:textId="77777777" w:rsidR="008F455E" w:rsidRPr="00D07A15" w:rsidRDefault="008F455E" w:rsidP="008F455E">
      <w:pPr>
        <w:pStyle w:val="Doc-text2"/>
        <w:tabs>
          <w:tab w:val="left" w:pos="340"/>
        </w:tabs>
        <w:spacing w:before="120" w:after="120"/>
        <w:ind w:left="0" w:firstLine="0"/>
        <w:jc w:val="both"/>
        <w:rPr>
          <w:rFonts w:eastAsiaTheme="minorEastAsia" w:cs="Arial"/>
          <w:b/>
          <w:sz w:val="22"/>
          <w:lang w:eastAsia="zh-CN"/>
        </w:rPr>
      </w:pPr>
      <w:r>
        <w:rPr>
          <w:rFonts w:cs="Arial"/>
          <w:b/>
          <w:i/>
          <w:sz w:val="22"/>
          <w:u w:val="single"/>
        </w:rPr>
        <w:t>Proposal 16</w:t>
      </w:r>
      <w:r w:rsidRPr="00D07A15">
        <w:rPr>
          <w:rFonts w:cs="Arial"/>
          <w:b/>
          <w:i/>
          <w:sz w:val="22"/>
          <w:u w:val="single"/>
        </w:rPr>
        <w:t>:</w:t>
      </w:r>
      <w:r w:rsidRPr="00D07A15">
        <w:rPr>
          <w:rFonts w:cs="Arial"/>
          <w:b/>
          <w:sz w:val="22"/>
        </w:rPr>
        <w:t xml:space="preserve"> For bit-string state-based SCell (s) dormancy indication inside active time, </w:t>
      </w:r>
      <w:r w:rsidRPr="00D07A15">
        <w:rPr>
          <w:rFonts w:eastAsiaTheme="minorEastAsia" w:cs="Arial"/>
          <w:b/>
          <w:sz w:val="22"/>
          <w:lang w:eastAsia="zh-CN"/>
        </w:rPr>
        <w:t>t</w:t>
      </w:r>
      <w:r w:rsidRPr="00D07A15">
        <w:rPr>
          <w:rFonts w:cs="Arial"/>
          <w:b/>
          <w:sz w:val="22"/>
        </w:rPr>
        <w:t>he explicit indication for SCell (s) bundling/state configuration can be based on RRC/MAC-CE/DCI. Since NW uses MAC-CE to do SCell (s) activation, the same MAC-CE (including bit map of SCells) can be used for SCell (s) dormancy behavior bundling with</w:t>
      </w:r>
    </w:p>
    <w:p w14:paraId="742C9C0C" w14:textId="77777777" w:rsidR="008F455E" w:rsidRPr="00D07A15" w:rsidRDefault="008F455E" w:rsidP="008F455E">
      <w:pPr>
        <w:pStyle w:val="af7"/>
        <w:numPr>
          <w:ilvl w:val="0"/>
          <w:numId w:val="27"/>
        </w:numPr>
        <w:rPr>
          <w:rFonts w:ascii="Arial" w:hAnsi="Arial" w:cs="Arial"/>
          <w:b/>
        </w:rPr>
      </w:pPr>
      <w:r w:rsidRPr="00D07A15">
        <w:rPr>
          <w:rFonts w:ascii="Arial" w:hAnsi="Arial" w:cs="Arial"/>
          <w:b/>
        </w:rPr>
        <w:t>Using one reserved bit to indicate the SCell (s) bundling feature</w:t>
      </w:r>
    </w:p>
    <w:p w14:paraId="6E6B79C2" w14:textId="77777777" w:rsidR="008F455E" w:rsidRPr="00D07A15" w:rsidRDefault="008F455E" w:rsidP="008F455E">
      <w:pPr>
        <w:pStyle w:val="af7"/>
        <w:numPr>
          <w:ilvl w:val="0"/>
          <w:numId w:val="27"/>
        </w:numPr>
        <w:rPr>
          <w:rFonts w:ascii="Arial" w:hAnsi="Arial" w:cs="Arial"/>
          <w:b/>
        </w:rPr>
      </w:pPr>
      <w:r w:rsidRPr="00D07A15">
        <w:rPr>
          <w:rFonts w:ascii="Arial" w:hAnsi="Arial" w:cs="Arial"/>
          <w:b/>
        </w:rPr>
        <w:t>Using another SCell (s) bit map for SCell (s) bundling (Ex. using the reserved bits in MAC-CE Index 33~46)</w:t>
      </w:r>
    </w:p>
    <w:p w14:paraId="2C2AFBFE" w14:textId="77777777" w:rsidR="008F455E" w:rsidRDefault="008F455E" w:rsidP="008F455E">
      <w:pPr>
        <w:pStyle w:val="Doc-text2"/>
        <w:tabs>
          <w:tab w:val="left" w:pos="340"/>
        </w:tabs>
        <w:spacing w:before="120" w:after="120"/>
        <w:ind w:left="0" w:firstLine="0"/>
        <w:jc w:val="both"/>
        <w:rPr>
          <w:rFonts w:cs="Arial"/>
          <w:b/>
          <w:sz w:val="22"/>
        </w:rPr>
      </w:pPr>
      <w:r w:rsidRPr="00D07A15">
        <w:rPr>
          <w:rFonts w:cs="Arial"/>
          <w:b/>
          <w:sz w:val="22"/>
        </w:rPr>
        <w:t>For DCI based SCell (s) bundling/state configuration, the remaining bits of Case 2 DCI can be used.</w:t>
      </w:r>
    </w:p>
    <w:p w14:paraId="08120423" w14:textId="77777777" w:rsidR="008F455E" w:rsidRDefault="008F455E" w:rsidP="008F455E">
      <w:pPr>
        <w:pStyle w:val="Doc-text2"/>
        <w:tabs>
          <w:tab w:val="left" w:pos="340"/>
        </w:tabs>
        <w:spacing w:before="120" w:after="120"/>
        <w:ind w:left="0" w:firstLine="0"/>
        <w:jc w:val="both"/>
        <w:rPr>
          <w:rFonts w:cs="Arial"/>
          <w:b/>
          <w:sz w:val="22"/>
        </w:rPr>
      </w:pPr>
      <w:r>
        <w:rPr>
          <w:rFonts w:cs="Arial"/>
          <w:b/>
          <w:sz w:val="22"/>
        </w:rPr>
        <w:t>For RRC/MAC-CE based configuration, we can use RRC to configure a big pool of SCell states, and use MAC-CE configuration to activate a smaller pool of SCell states.</w:t>
      </w:r>
    </w:p>
    <w:p w14:paraId="76F6B6EA" w14:textId="3933DC42" w:rsidR="008F455E" w:rsidRDefault="008F455E" w:rsidP="00F60450">
      <w:pPr>
        <w:pStyle w:val="TAL"/>
        <w:jc w:val="both"/>
        <w:rPr>
          <w:rFonts w:cs="Arial"/>
          <w:b/>
          <w:sz w:val="22"/>
        </w:rPr>
      </w:pPr>
      <w:r w:rsidRPr="008F455E">
        <w:rPr>
          <w:rFonts w:cs="Arial"/>
          <w:b/>
          <w:sz w:val="22"/>
        </w:rPr>
        <w:t>The additional explicit bits in scheduling DCI (Case 1) can be less (Ex. 2 bits) with dynamic SCells configurations using MAC-CE or Case 2 DCI.</w:t>
      </w:r>
    </w:p>
    <w:p w14:paraId="76910F60" w14:textId="77777777" w:rsidR="009354E6" w:rsidRDefault="009354E6" w:rsidP="00F60450">
      <w:pPr>
        <w:pStyle w:val="TAL"/>
        <w:jc w:val="both"/>
        <w:rPr>
          <w:rFonts w:cs="Arial"/>
          <w:b/>
          <w:sz w:val="22"/>
        </w:rPr>
      </w:pPr>
    </w:p>
    <w:p w14:paraId="104DA9CF" w14:textId="0E781270" w:rsidR="009354E6" w:rsidRDefault="009354E6" w:rsidP="00F60450">
      <w:pPr>
        <w:pStyle w:val="TAL"/>
        <w:jc w:val="both"/>
        <w:rPr>
          <w:rFonts w:cs="Arial"/>
          <w:b/>
          <w:sz w:val="22"/>
        </w:rPr>
      </w:pPr>
      <w:r w:rsidRPr="009354E6">
        <w:rPr>
          <w:rFonts w:cs="Arial"/>
          <w:b/>
          <w:i/>
          <w:sz w:val="22"/>
          <w:u w:val="single"/>
        </w:rPr>
        <w:t>Observation 2:</w:t>
      </w:r>
      <w:r w:rsidRPr="009354E6">
        <w:rPr>
          <w:rFonts w:cs="Arial"/>
          <w:b/>
          <w:i/>
          <w:sz w:val="22"/>
        </w:rPr>
        <w:t xml:space="preserve"> </w:t>
      </w:r>
      <w:r w:rsidRPr="009354E6">
        <w:rPr>
          <w:rFonts w:cs="Arial"/>
          <w:b/>
          <w:sz w:val="22"/>
        </w:rPr>
        <w:t>For the known cell cases or in FR1 unknown cell case with only 1 SSB is transmitted, temporary RS is able to reduce the activation delay by 10ms, when periodicity of temporary RS 5ms is assumed.</w:t>
      </w:r>
    </w:p>
    <w:p w14:paraId="1AC8BAD7" w14:textId="77777777" w:rsidR="009354E6" w:rsidRDefault="009354E6" w:rsidP="00F60450">
      <w:pPr>
        <w:pStyle w:val="TAL"/>
        <w:jc w:val="both"/>
        <w:rPr>
          <w:rFonts w:cs="Arial"/>
          <w:b/>
          <w:sz w:val="22"/>
        </w:rPr>
      </w:pPr>
    </w:p>
    <w:p w14:paraId="25A6FEC4" w14:textId="77777777" w:rsidR="009354E6" w:rsidRDefault="009354E6" w:rsidP="009354E6">
      <w:pPr>
        <w:pStyle w:val="af2"/>
        <w:rPr>
          <w:rFonts w:ascii="Arial" w:hAnsi="Arial" w:cs="Arial"/>
          <w:i/>
          <w:sz w:val="22"/>
          <w:szCs w:val="22"/>
        </w:rPr>
      </w:pPr>
      <w:r>
        <w:rPr>
          <w:rFonts w:ascii="Arial" w:hAnsi="Arial" w:cs="Arial"/>
          <w:i/>
          <w:sz w:val="22"/>
          <w:szCs w:val="22"/>
          <w:u w:val="single"/>
        </w:rPr>
        <w:t>Proposal 17</w:t>
      </w:r>
      <w:r w:rsidRPr="00473ACB">
        <w:rPr>
          <w:rFonts w:ascii="Arial" w:hAnsi="Arial" w:cs="Arial"/>
          <w:i/>
          <w:sz w:val="22"/>
          <w:szCs w:val="22"/>
          <w:u w:val="single"/>
        </w:rPr>
        <w:t>:</w:t>
      </w:r>
      <w:r w:rsidRPr="0026380B">
        <w:rPr>
          <w:rFonts w:ascii="Arial" w:hAnsi="Arial" w:cs="Arial"/>
          <w:i/>
          <w:sz w:val="22"/>
          <w:szCs w:val="22"/>
        </w:rPr>
        <w:t xml:space="preserve"> To facilitate the implementation of DCI triggered temporary RS, longer </w:t>
      </w:r>
      <w:r w:rsidRPr="00142017">
        <w:rPr>
          <w:rFonts w:ascii="Arial" w:hAnsi="Arial" w:cs="Arial"/>
          <w:i/>
          <w:sz w:val="22"/>
          <w:szCs w:val="22"/>
        </w:rPr>
        <w:t xml:space="preserve">aperiodicTriggeringOffset </w:t>
      </w:r>
      <w:r w:rsidRPr="0026380B">
        <w:rPr>
          <w:rFonts w:ascii="Arial" w:hAnsi="Arial" w:cs="Arial"/>
          <w:i/>
          <w:sz w:val="22"/>
          <w:szCs w:val="22"/>
        </w:rPr>
        <w:t xml:space="preserve">is needed to cover the case </w:t>
      </w:r>
      <w:r w:rsidRPr="00473ACB">
        <w:rPr>
          <w:rFonts w:ascii="Arial" w:hAnsi="Arial" w:cs="Arial"/>
          <w:i/>
          <w:sz w:val="22"/>
          <w:szCs w:val="22"/>
          <w:highlight w:val="yellow"/>
        </w:rPr>
        <w:t>activated known SCell</w:t>
      </w:r>
      <w:r w:rsidRPr="0026380B">
        <w:rPr>
          <w:rFonts w:ascii="Arial" w:hAnsi="Arial" w:cs="Arial"/>
          <w:i/>
          <w:sz w:val="22"/>
          <w:szCs w:val="22"/>
        </w:rPr>
        <w:t xml:space="preserve"> belongs to FR2 with no active serving cell on the same band.</w:t>
      </w:r>
      <w:r>
        <w:rPr>
          <w:rFonts w:ascii="Arial" w:hAnsi="Arial" w:cs="Arial"/>
          <w:i/>
          <w:sz w:val="22"/>
          <w:szCs w:val="22"/>
        </w:rPr>
        <w:t xml:space="preserve"> </w:t>
      </w:r>
      <w:r w:rsidRPr="009252DE">
        <w:rPr>
          <w:rFonts w:ascii="Arial" w:hAnsi="Arial" w:cs="Arial"/>
          <w:i/>
          <w:sz w:val="22"/>
          <w:szCs w:val="22"/>
        </w:rPr>
        <w:t>The range of the IE aperiodicTriggeringOffset would need to be enlarged from current spec or a new IE aperiodicTriggeringOffsetTRS needs to be defined.</w:t>
      </w:r>
      <w:r w:rsidRPr="0026380B">
        <w:rPr>
          <w:rFonts w:ascii="Arial" w:hAnsi="Arial" w:cs="Arial"/>
          <w:i/>
          <w:sz w:val="22"/>
          <w:szCs w:val="22"/>
        </w:rPr>
        <w:t xml:space="preserve"> </w:t>
      </w:r>
    </w:p>
    <w:p w14:paraId="7506C9C9" w14:textId="77777777" w:rsidR="009354E6" w:rsidRPr="009354E6" w:rsidRDefault="009354E6" w:rsidP="009354E6"/>
    <w:p w14:paraId="5F7C0C58" w14:textId="77777777" w:rsidR="009354E6" w:rsidRDefault="009354E6" w:rsidP="009354E6">
      <w:pPr>
        <w:pStyle w:val="af2"/>
        <w:rPr>
          <w:rFonts w:ascii="Arial" w:hAnsi="Arial" w:cs="Arial"/>
          <w:i/>
          <w:sz w:val="22"/>
          <w:szCs w:val="22"/>
        </w:rPr>
      </w:pPr>
      <w:r>
        <w:rPr>
          <w:rFonts w:ascii="Arial" w:hAnsi="Arial" w:cs="Arial"/>
          <w:i/>
          <w:sz w:val="22"/>
          <w:szCs w:val="22"/>
          <w:u w:val="single"/>
        </w:rPr>
        <w:lastRenderedPageBreak/>
        <w:t>Proposal 18</w:t>
      </w:r>
      <w:r w:rsidRPr="009252DE">
        <w:rPr>
          <w:rFonts w:ascii="Arial" w:hAnsi="Arial" w:cs="Arial"/>
          <w:i/>
          <w:sz w:val="22"/>
          <w:szCs w:val="22"/>
          <w:u w:val="single"/>
        </w:rPr>
        <w:t>:</w:t>
      </w:r>
      <w:r w:rsidRPr="009252DE">
        <w:rPr>
          <w:rFonts w:ascii="Arial" w:hAnsi="Arial" w:cs="Arial"/>
          <w:i/>
          <w:sz w:val="22"/>
          <w:szCs w:val="22"/>
        </w:rPr>
        <w:t xml:space="preserve"> To avoid changing current spec for the range of the IE aperiodicTriggeringOffset, NW can transmit the TRS triggering DCI after the interruption period of PCell.</w:t>
      </w:r>
    </w:p>
    <w:p w14:paraId="3F111D25" w14:textId="77777777" w:rsidR="00463036" w:rsidRPr="00463036" w:rsidRDefault="00463036" w:rsidP="00463036"/>
    <w:p w14:paraId="21B486E0" w14:textId="2B42DC7B" w:rsidR="009354E6" w:rsidRPr="00463036" w:rsidRDefault="00463036" w:rsidP="00F60450">
      <w:pPr>
        <w:pStyle w:val="TAL"/>
        <w:jc w:val="both"/>
        <w:rPr>
          <w:rFonts w:cs="Arial"/>
          <w:b/>
          <w:sz w:val="22"/>
        </w:rPr>
      </w:pPr>
      <w:r w:rsidRPr="00463036">
        <w:rPr>
          <w:rFonts w:cs="Arial"/>
          <w:b/>
          <w:i/>
          <w:sz w:val="22"/>
          <w:u w:val="single"/>
        </w:rPr>
        <w:t>Proposal 19:</w:t>
      </w:r>
      <w:r w:rsidRPr="00463036">
        <w:rPr>
          <w:rFonts w:cs="Arial"/>
          <w:b/>
          <w:i/>
          <w:sz w:val="22"/>
        </w:rPr>
        <w:t xml:space="preserve"> If Network can send an indication to inform UE that the RE powers of temporary RS/CSI-RS and SSB are the same, no extra temporary RS/ CSI-RS is needed for UE to tune the fine beam AGC gain.</w:t>
      </w:r>
    </w:p>
    <w:p w14:paraId="3AFEBC0B" w14:textId="77777777" w:rsidR="00DF17B1" w:rsidRPr="009F29FB" w:rsidRDefault="00DF17B1" w:rsidP="00DF17B1">
      <w:pPr>
        <w:pStyle w:val="1"/>
        <w:jc w:val="both"/>
        <w:rPr>
          <w:rFonts w:cs="Arial"/>
          <w:color w:val="000000" w:themeColor="text1"/>
        </w:rPr>
      </w:pPr>
      <w:r w:rsidRPr="009F29FB">
        <w:rPr>
          <w:rFonts w:eastAsia="新細明體" w:cs="Arial"/>
          <w:color w:val="000000" w:themeColor="text1"/>
          <w:lang w:eastAsia="zh-TW"/>
        </w:rPr>
        <w:t>Reference</w:t>
      </w:r>
      <w:r w:rsidRPr="009F29FB">
        <w:rPr>
          <w:rFonts w:cs="Arial"/>
          <w:color w:val="000000" w:themeColor="text1"/>
        </w:rPr>
        <w:t xml:space="preserve"> </w:t>
      </w:r>
    </w:p>
    <w:p w14:paraId="5980D726" w14:textId="04F2BC3D" w:rsidR="00DF17B1" w:rsidRDefault="006F76A7" w:rsidP="00911A52">
      <w:pPr>
        <w:pStyle w:val="af7"/>
        <w:numPr>
          <w:ilvl w:val="0"/>
          <w:numId w:val="1"/>
        </w:numPr>
        <w:ind w:right="72"/>
        <w:rPr>
          <w:rFonts w:ascii="Arial" w:hAnsi="Arial" w:cs="Arial"/>
        </w:rPr>
      </w:pPr>
      <w:bookmarkStart w:id="12" w:name="_Ref7353143"/>
      <w:r w:rsidRPr="006F76A7">
        <w:rPr>
          <w:rFonts w:ascii="Arial" w:hAnsi="Arial" w:cs="Arial"/>
        </w:rPr>
        <w:t>R2-1908483</w:t>
      </w:r>
      <w:r w:rsidR="00DF17B1" w:rsidRPr="005660DB">
        <w:rPr>
          <w:rFonts w:ascii="Arial" w:hAnsi="Arial" w:cs="Arial"/>
        </w:rPr>
        <w:t xml:space="preserve">, </w:t>
      </w:r>
      <w:r w:rsidRPr="006F76A7">
        <w:rPr>
          <w:rFonts w:ascii="Arial" w:hAnsi="Arial" w:cs="Arial"/>
        </w:rPr>
        <w:t>LS on NR fast SCell activation</w:t>
      </w:r>
      <w:r w:rsidR="00DF17B1" w:rsidRPr="005660DB">
        <w:rPr>
          <w:rFonts w:ascii="Arial" w:hAnsi="Arial" w:cs="Arial"/>
        </w:rPr>
        <w:t>, Ma</w:t>
      </w:r>
      <w:r>
        <w:rPr>
          <w:rFonts w:ascii="Arial" w:hAnsi="Arial" w:cs="Arial"/>
        </w:rPr>
        <w:t>y</w:t>
      </w:r>
      <w:r w:rsidR="00DF17B1" w:rsidRPr="005660DB">
        <w:rPr>
          <w:rFonts w:ascii="Arial" w:hAnsi="Arial" w:cs="Arial"/>
        </w:rPr>
        <w:t>, 2019</w:t>
      </w:r>
      <w:bookmarkEnd w:id="12"/>
      <w:r>
        <w:rPr>
          <w:rFonts w:ascii="Arial" w:hAnsi="Arial" w:cs="Arial"/>
        </w:rPr>
        <w:t>.</w:t>
      </w:r>
    </w:p>
    <w:p w14:paraId="4ADC37AF" w14:textId="70F01AF7" w:rsidR="00BB4898" w:rsidRDefault="0010778B" w:rsidP="00A4529D">
      <w:pPr>
        <w:pStyle w:val="af7"/>
        <w:numPr>
          <w:ilvl w:val="0"/>
          <w:numId w:val="1"/>
        </w:numPr>
        <w:ind w:right="72"/>
        <w:rPr>
          <w:rFonts w:ascii="Arial" w:hAnsi="Arial" w:cs="Arial"/>
        </w:rPr>
      </w:pPr>
      <w:r>
        <w:rPr>
          <w:rFonts w:ascii="Arial" w:hAnsi="Arial" w:cs="Arial"/>
        </w:rPr>
        <w:t>Chairman’s Notes, RAN1 #98</w:t>
      </w:r>
      <w:r w:rsidRPr="0010778B">
        <w:rPr>
          <w:rFonts w:ascii="Arial" w:hAnsi="Arial" w:cs="Arial"/>
        </w:rPr>
        <w:t>-bis</w:t>
      </w:r>
    </w:p>
    <w:p w14:paraId="46475F28" w14:textId="41D2936F" w:rsidR="0010778B" w:rsidRDefault="00DC25B3" w:rsidP="00DC25B3">
      <w:pPr>
        <w:pStyle w:val="af7"/>
        <w:numPr>
          <w:ilvl w:val="0"/>
          <w:numId w:val="1"/>
        </w:numPr>
        <w:ind w:right="72"/>
        <w:rPr>
          <w:rFonts w:ascii="Arial" w:hAnsi="Arial" w:cs="Arial"/>
        </w:rPr>
      </w:pPr>
      <w:r w:rsidRPr="00DC25B3">
        <w:rPr>
          <w:rFonts w:ascii="Arial" w:hAnsi="Arial" w:cs="Arial"/>
        </w:rPr>
        <w:t>R1-1911738</w:t>
      </w:r>
      <w:r>
        <w:rPr>
          <w:rFonts w:ascii="Arial" w:hAnsi="Arial" w:cs="Arial"/>
        </w:rPr>
        <w:t xml:space="preserve">, </w:t>
      </w:r>
      <w:r w:rsidRPr="00DC25B3">
        <w:rPr>
          <w:rFonts w:ascii="Arial" w:hAnsi="Arial" w:cs="Arial"/>
        </w:rPr>
        <w:t>R16 L1 parameter list FINAL - LTE_NR_DC_CA_enh</w:t>
      </w:r>
      <w:r>
        <w:rPr>
          <w:rFonts w:ascii="Arial" w:hAnsi="Arial" w:cs="Arial"/>
        </w:rPr>
        <w:t>, after RAN1 #98</w:t>
      </w:r>
      <w:r w:rsidRPr="0010778B">
        <w:rPr>
          <w:rFonts w:ascii="Arial" w:hAnsi="Arial" w:cs="Arial"/>
        </w:rPr>
        <w:t>-bis</w:t>
      </w:r>
    </w:p>
    <w:p w14:paraId="48E56BB0" w14:textId="6A71AF3E" w:rsidR="00211BCD" w:rsidRPr="00D07A15" w:rsidRDefault="00211BCD" w:rsidP="00211BCD">
      <w:pPr>
        <w:pStyle w:val="Doc-text2"/>
        <w:tabs>
          <w:tab w:val="left" w:pos="340"/>
        </w:tabs>
        <w:spacing w:before="120" w:after="120"/>
        <w:ind w:left="0" w:firstLine="0"/>
        <w:jc w:val="both"/>
        <w:rPr>
          <w:rFonts w:eastAsiaTheme="minorEastAsia" w:cs="Arial"/>
          <w:b/>
          <w:sz w:val="22"/>
          <w:lang w:eastAsia="zh-TW"/>
        </w:rPr>
      </w:pPr>
    </w:p>
    <w:p w14:paraId="79061904" w14:textId="77777777" w:rsidR="00211BCD" w:rsidRPr="00211BCD" w:rsidRDefault="00211BCD" w:rsidP="00211BCD">
      <w:pPr>
        <w:ind w:right="72"/>
        <w:rPr>
          <w:rFonts w:ascii="Arial" w:eastAsia="MS Mincho" w:hAnsi="Arial" w:cs="Arial"/>
          <w:b/>
          <w:lang w:eastAsia="ja-JP"/>
        </w:rPr>
      </w:pPr>
    </w:p>
    <w:sectPr w:rsidR="00211BCD" w:rsidRPr="00211BCD" w:rsidSect="00A2792B">
      <w:footnotePr>
        <w:numRestart w:val="eachSect"/>
      </w:footnotePr>
      <w:type w:val="continuous"/>
      <w:pgSz w:w="11907" w:h="16840" w:code="9"/>
      <w:pgMar w:top="1418" w:right="1134" w:bottom="1134" w:left="1134" w:header="680" w:footer="567"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BD0F74" w14:textId="77777777" w:rsidR="008D4F02" w:rsidRDefault="008D4F02">
      <w:r>
        <w:separator/>
      </w:r>
    </w:p>
  </w:endnote>
  <w:endnote w:type="continuationSeparator" w:id="0">
    <w:p w14:paraId="1BFEA3B6" w14:textId="77777777" w:rsidR="008D4F02" w:rsidRDefault="008D4F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altName w:val="Times New Roman"/>
    <w:panose1 w:val="00000000000000000000"/>
    <w:charset w:val="00"/>
    <w:family w:val="roman"/>
    <w:notTrueType/>
    <w:pitch w:val="default"/>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3482B5" w14:textId="77777777" w:rsidR="008D4F02" w:rsidRDefault="008D4F02">
      <w:r>
        <w:separator/>
      </w:r>
    </w:p>
  </w:footnote>
  <w:footnote w:type="continuationSeparator" w:id="0">
    <w:p w14:paraId="5C964013" w14:textId="77777777" w:rsidR="008D4F02" w:rsidRDefault="008D4F0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003B38"/>
    <w:multiLevelType w:val="hybridMultilevel"/>
    <w:tmpl w:val="02E2E104"/>
    <w:lvl w:ilvl="0" w:tplc="B38E06F8">
      <w:start w:val="3"/>
      <w:numFmt w:val="bullet"/>
      <w:lvlText w:val=""/>
      <w:lvlJc w:val="left"/>
      <w:pPr>
        <w:ind w:left="720" w:hanging="360"/>
      </w:pPr>
      <w:rPr>
        <w:rFonts w:ascii="Symbol" w:eastAsia="MS Mincho" w:hAnsi="Symbol" w:cs="Courier New" w:hint="default"/>
        <w:b w:val="0"/>
        <w:sz w:val="22"/>
        <w:u w:val="no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3447E8"/>
    <w:multiLevelType w:val="hybridMultilevel"/>
    <w:tmpl w:val="659A29A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F834D57"/>
    <w:multiLevelType w:val="hybridMultilevel"/>
    <w:tmpl w:val="AD7015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12113A"/>
    <w:multiLevelType w:val="hybridMultilevel"/>
    <w:tmpl w:val="EA683772"/>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A7F2B2A"/>
    <w:multiLevelType w:val="hybridMultilevel"/>
    <w:tmpl w:val="3046622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1C3C5C51"/>
    <w:multiLevelType w:val="hybridMultilevel"/>
    <w:tmpl w:val="62EA0DDE"/>
    <w:lvl w:ilvl="0" w:tplc="20ACC7AC">
      <w:start w:val="2"/>
      <w:numFmt w:val="bullet"/>
      <w:lvlText w:val=""/>
      <w:lvlJc w:val="left"/>
      <w:pPr>
        <w:ind w:left="360" w:hanging="360"/>
      </w:pPr>
      <w:rPr>
        <w:rFonts w:ascii="Wingdings" w:eastAsiaTheme="minorEastAsia" w:hAnsi="Wingdings" w:cs="Arial" w:hint="default"/>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E4D2102"/>
    <w:multiLevelType w:val="multilevel"/>
    <w:tmpl w:val="0B02C4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o"/>
      <w:lvlJc w:val="left"/>
      <w:pPr>
        <w:tabs>
          <w:tab w:val="num" w:pos="2880"/>
        </w:tabs>
        <w:ind w:left="2880" w:hanging="360"/>
      </w:pPr>
      <w:rPr>
        <w:rFonts w:ascii="Courier New" w:hAnsi="Courier New" w:cs="Courier New" w:hint="default"/>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1ED63963"/>
    <w:multiLevelType w:val="hybridMultilevel"/>
    <w:tmpl w:val="09742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48401B"/>
    <w:multiLevelType w:val="hybridMultilevel"/>
    <w:tmpl w:val="1CB4A3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033485"/>
    <w:multiLevelType w:val="hybridMultilevel"/>
    <w:tmpl w:val="00F4E8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E061EC"/>
    <w:multiLevelType w:val="hybridMultilevel"/>
    <w:tmpl w:val="EDC2D5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3A6DF4"/>
    <w:multiLevelType w:val="hybridMultilevel"/>
    <w:tmpl w:val="0A8AC650"/>
    <w:lvl w:ilvl="0" w:tplc="963AD10A">
      <w:start w:val="1"/>
      <w:numFmt w:val="decimal"/>
      <w:lvlText w:val="%1."/>
      <w:lvlJc w:val="left"/>
      <w:pPr>
        <w:ind w:left="720" w:hanging="360"/>
      </w:pPr>
      <w:rPr>
        <w:rFonts w:hint="default"/>
        <w:b/>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D90CF8"/>
    <w:multiLevelType w:val="hybridMultilevel"/>
    <w:tmpl w:val="57C6DA3C"/>
    <w:lvl w:ilvl="0" w:tplc="04090001">
      <w:start w:val="1"/>
      <w:numFmt w:val="bullet"/>
      <w:lvlText w:val=""/>
      <w:lvlJc w:val="left"/>
      <w:pPr>
        <w:tabs>
          <w:tab w:val="num" w:pos="360"/>
        </w:tabs>
        <w:ind w:left="360" w:hanging="360"/>
      </w:pPr>
      <w:rPr>
        <w:rFonts w:ascii="Symbol" w:hAnsi="Symbol" w:hint="default"/>
      </w:rPr>
    </w:lvl>
    <w:lvl w:ilvl="1" w:tplc="B6882130">
      <w:start w:val="1"/>
      <w:numFmt w:val="bullet"/>
      <w:lvlText w:val="-"/>
      <w:lvlJc w:val="left"/>
      <w:pPr>
        <w:tabs>
          <w:tab w:val="num" w:pos="1080"/>
        </w:tabs>
        <w:ind w:left="1080" w:hanging="360"/>
      </w:pPr>
      <w:rPr>
        <w:rFonts w:ascii="Arial" w:hAnsi="Arial" w:hint="default"/>
      </w:rPr>
    </w:lvl>
    <w:lvl w:ilvl="2" w:tplc="B636A5CC">
      <w:start w:val="1"/>
      <w:numFmt w:val="bullet"/>
      <w:lvlText w:val="-"/>
      <w:lvlJc w:val="left"/>
      <w:pPr>
        <w:tabs>
          <w:tab w:val="num" w:pos="1800"/>
        </w:tabs>
        <w:ind w:left="1800" w:hanging="360"/>
      </w:pPr>
      <w:rPr>
        <w:rFonts w:ascii="Arial" w:hAnsi="Arial" w:hint="default"/>
      </w:rPr>
    </w:lvl>
    <w:lvl w:ilvl="3" w:tplc="19343E98" w:tentative="1">
      <w:start w:val="1"/>
      <w:numFmt w:val="bullet"/>
      <w:lvlText w:val="-"/>
      <w:lvlJc w:val="left"/>
      <w:pPr>
        <w:tabs>
          <w:tab w:val="num" w:pos="2520"/>
        </w:tabs>
        <w:ind w:left="2520" w:hanging="360"/>
      </w:pPr>
      <w:rPr>
        <w:rFonts w:ascii="Arial" w:hAnsi="Arial" w:hint="default"/>
      </w:rPr>
    </w:lvl>
    <w:lvl w:ilvl="4" w:tplc="B4CC95DA" w:tentative="1">
      <w:start w:val="1"/>
      <w:numFmt w:val="bullet"/>
      <w:lvlText w:val="-"/>
      <w:lvlJc w:val="left"/>
      <w:pPr>
        <w:tabs>
          <w:tab w:val="num" w:pos="3240"/>
        </w:tabs>
        <w:ind w:left="3240" w:hanging="360"/>
      </w:pPr>
      <w:rPr>
        <w:rFonts w:ascii="Arial" w:hAnsi="Arial" w:hint="default"/>
      </w:rPr>
    </w:lvl>
    <w:lvl w:ilvl="5" w:tplc="75FCB264" w:tentative="1">
      <w:start w:val="1"/>
      <w:numFmt w:val="bullet"/>
      <w:lvlText w:val="-"/>
      <w:lvlJc w:val="left"/>
      <w:pPr>
        <w:tabs>
          <w:tab w:val="num" w:pos="3960"/>
        </w:tabs>
        <w:ind w:left="3960" w:hanging="360"/>
      </w:pPr>
      <w:rPr>
        <w:rFonts w:ascii="Arial" w:hAnsi="Arial" w:hint="default"/>
      </w:rPr>
    </w:lvl>
    <w:lvl w:ilvl="6" w:tplc="54E2FC0C" w:tentative="1">
      <w:start w:val="1"/>
      <w:numFmt w:val="bullet"/>
      <w:lvlText w:val="-"/>
      <w:lvlJc w:val="left"/>
      <w:pPr>
        <w:tabs>
          <w:tab w:val="num" w:pos="4680"/>
        </w:tabs>
        <w:ind w:left="4680" w:hanging="360"/>
      </w:pPr>
      <w:rPr>
        <w:rFonts w:ascii="Arial" w:hAnsi="Arial" w:hint="default"/>
      </w:rPr>
    </w:lvl>
    <w:lvl w:ilvl="7" w:tplc="FF4CD48E" w:tentative="1">
      <w:start w:val="1"/>
      <w:numFmt w:val="bullet"/>
      <w:lvlText w:val="-"/>
      <w:lvlJc w:val="left"/>
      <w:pPr>
        <w:tabs>
          <w:tab w:val="num" w:pos="5400"/>
        </w:tabs>
        <w:ind w:left="5400" w:hanging="360"/>
      </w:pPr>
      <w:rPr>
        <w:rFonts w:ascii="Arial" w:hAnsi="Arial" w:hint="default"/>
      </w:rPr>
    </w:lvl>
    <w:lvl w:ilvl="8" w:tplc="C67E6F00"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2A301F90"/>
    <w:multiLevelType w:val="hybridMultilevel"/>
    <w:tmpl w:val="435EBFC4"/>
    <w:lvl w:ilvl="0" w:tplc="60A28CDC">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C2677FA"/>
    <w:multiLevelType w:val="hybridMultilevel"/>
    <w:tmpl w:val="9148E242"/>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340" w:hanging="360"/>
      </w:pPr>
      <w:rPr>
        <w:rFonts w:ascii="Courier New" w:hAnsi="Courier New" w:cs="Courier New" w:hint="default"/>
      </w:rPr>
    </w:lvl>
    <w:lvl w:ilvl="2" w:tplc="04090005">
      <w:start w:val="1"/>
      <w:numFmt w:val="bullet"/>
      <w:lvlText w:val=""/>
      <w:lvlJc w:val="left"/>
      <w:pPr>
        <w:ind w:left="380" w:hanging="360"/>
      </w:pPr>
      <w:rPr>
        <w:rFonts w:ascii="Wingdings" w:hAnsi="Wingdings" w:hint="default"/>
      </w:rPr>
    </w:lvl>
    <w:lvl w:ilvl="3" w:tplc="04090005">
      <w:start w:val="1"/>
      <w:numFmt w:val="bullet"/>
      <w:lvlText w:val=""/>
      <w:lvlJc w:val="left"/>
      <w:pPr>
        <w:ind w:left="1100" w:hanging="360"/>
      </w:pPr>
      <w:rPr>
        <w:rFonts w:ascii="Wingdings" w:hAnsi="Wingdings" w:hint="default"/>
      </w:rPr>
    </w:lvl>
    <w:lvl w:ilvl="4" w:tplc="04090003">
      <w:start w:val="1"/>
      <w:numFmt w:val="bullet"/>
      <w:lvlText w:val="o"/>
      <w:lvlJc w:val="left"/>
      <w:pPr>
        <w:ind w:left="1820" w:hanging="360"/>
      </w:pPr>
      <w:rPr>
        <w:rFonts w:ascii="Courier New" w:hAnsi="Courier New" w:cs="Courier New" w:hint="default"/>
      </w:rPr>
    </w:lvl>
    <w:lvl w:ilvl="5" w:tplc="04090005" w:tentative="1">
      <w:start w:val="1"/>
      <w:numFmt w:val="bullet"/>
      <w:lvlText w:val=""/>
      <w:lvlJc w:val="left"/>
      <w:pPr>
        <w:ind w:left="2540" w:hanging="360"/>
      </w:pPr>
      <w:rPr>
        <w:rFonts w:ascii="Wingdings" w:hAnsi="Wingdings" w:hint="default"/>
      </w:rPr>
    </w:lvl>
    <w:lvl w:ilvl="6" w:tplc="04090001" w:tentative="1">
      <w:start w:val="1"/>
      <w:numFmt w:val="bullet"/>
      <w:lvlText w:val=""/>
      <w:lvlJc w:val="left"/>
      <w:pPr>
        <w:ind w:left="3260" w:hanging="360"/>
      </w:pPr>
      <w:rPr>
        <w:rFonts w:ascii="Symbol" w:hAnsi="Symbol" w:hint="default"/>
      </w:rPr>
    </w:lvl>
    <w:lvl w:ilvl="7" w:tplc="04090003" w:tentative="1">
      <w:start w:val="1"/>
      <w:numFmt w:val="bullet"/>
      <w:lvlText w:val="o"/>
      <w:lvlJc w:val="left"/>
      <w:pPr>
        <w:ind w:left="3980" w:hanging="360"/>
      </w:pPr>
      <w:rPr>
        <w:rFonts w:ascii="Courier New" w:hAnsi="Courier New" w:cs="Courier New" w:hint="default"/>
      </w:rPr>
    </w:lvl>
    <w:lvl w:ilvl="8" w:tplc="04090005" w:tentative="1">
      <w:start w:val="1"/>
      <w:numFmt w:val="bullet"/>
      <w:lvlText w:val=""/>
      <w:lvlJc w:val="left"/>
      <w:pPr>
        <w:ind w:left="4700" w:hanging="360"/>
      </w:pPr>
      <w:rPr>
        <w:rFonts w:ascii="Wingdings" w:hAnsi="Wingdings" w:hint="default"/>
      </w:rPr>
    </w:lvl>
  </w:abstractNum>
  <w:abstractNum w:abstractNumId="15" w15:restartNumberingAfterBreak="0">
    <w:nsid w:val="2CD765A8"/>
    <w:multiLevelType w:val="hybridMultilevel"/>
    <w:tmpl w:val="736A0D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E11026"/>
    <w:multiLevelType w:val="hybridMultilevel"/>
    <w:tmpl w:val="FC14583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C874B05"/>
    <w:multiLevelType w:val="hybridMultilevel"/>
    <w:tmpl w:val="7694838C"/>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C91877"/>
    <w:multiLevelType w:val="multilevel"/>
    <w:tmpl w:val="7A7688E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46EA4B6E"/>
    <w:multiLevelType w:val="hybridMultilevel"/>
    <w:tmpl w:val="536CD3DE"/>
    <w:lvl w:ilvl="0" w:tplc="042E933C">
      <w:start w:val="1"/>
      <w:numFmt w:val="bullet"/>
      <w:lvlText w:val=""/>
      <w:lvlJc w:val="left"/>
      <w:pPr>
        <w:ind w:left="216" w:hanging="216"/>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51294A6D"/>
    <w:multiLevelType w:val="hybridMultilevel"/>
    <w:tmpl w:val="B55C3F6E"/>
    <w:lvl w:ilvl="0" w:tplc="20ACC7AC">
      <w:start w:val="2"/>
      <w:numFmt w:val="bullet"/>
      <w:lvlText w:val=""/>
      <w:lvlJc w:val="left"/>
      <w:pPr>
        <w:ind w:left="720" w:hanging="360"/>
      </w:pPr>
      <w:rPr>
        <w:rFonts w:ascii="Wingdings" w:eastAsiaTheme="minorEastAsia" w:hAnsi="Wingdings" w:cs="Arial" w:hint="default"/>
        <w:sz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4B90463"/>
    <w:multiLevelType w:val="hybridMultilevel"/>
    <w:tmpl w:val="CD222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0921C74"/>
    <w:multiLevelType w:val="hybridMultilevel"/>
    <w:tmpl w:val="7716E2D0"/>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61901550"/>
    <w:multiLevelType w:val="hybridMultilevel"/>
    <w:tmpl w:val="BDE2FAB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6392338A"/>
    <w:multiLevelType w:val="hybridMultilevel"/>
    <w:tmpl w:val="E91C8D5A"/>
    <w:lvl w:ilvl="0" w:tplc="423E947C">
      <w:start w:val="1"/>
      <w:numFmt w:val="decimal"/>
      <w:lvlText w:val="[%1]"/>
      <w:lvlJc w:val="left"/>
      <w:pPr>
        <w:ind w:left="360" w:hanging="360"/>
      </w:pPr>
      <w:rPr>
        <w:rFonts w:hint="eastAsia"/>
        <w:lang w:val="en-G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66767B42"/>
    <w:multiLevelType w:val="hybridMultilevel"/>
    <w:tmpl w:val="DD56CBD2"/>
    <w:lvl w:ilvl="0" w:tplc="AE2E9CFA">
      <w:start w:val="1"/>
      <w:numFmt w:val="bullet"/>
      <w:lvlText w:val="-"/>
      <w:lvlJc w:val="left"/>
      <w:pPr>
        <w:tabs>
          <w:tab w:val="num" w:pos="360"/>
        </w:tabs>
        <w:ind w:left="360" w:hanging="360"/>
      </w:pPr>
      <w:rPr>
        <w:rFonts w:ascii="Arial" w:hAnsi="Arial" w:hint="default"/>
      </w:rPr>
    </w:lvl>
    <w:lvl w:ilvl="1" w:tplc="B6882130">
      <w:start w:val="1"/>
      <w:numFmt w:val="bullet"/>
      <w:lvlText w:val="-"/>
      <w:lvlJc w:val="left"/>
      <w:pPr>
        <w:tabs>
          <w:tab w:val="num" w:pos="1080"/>
        </w:tabs>
        <w:ind w:left="1080" w:hanging="360"/>
      </w:pPr>
      <w:rPr>
        <w:rFonts w:ascii="Arial" w:hAnsi="Arial" w:hint="default"/>
      </w:rPr>
    </w:lvl>
    <w:lvl w:ilvl="2" w:tplc="B636A5CC">
      <w:start w:val="1"/>
      <w:numFmt w:val="bullet"/>
      <w:lvlText w:val="-"/>
      <w:lvlJc w:val="left"/>
      <w:pPr>
        <w:tabs>
          <w:tab w:val="num" w:pos="1800"/>
        </w:tabs>
        <w:ind w:left="1800" w:hanging="360"/>
      </w:pPr>
      <w:rPr>
        <w:rFonts w:ascii="Arial" w:hAnsi="Arial" w:hint="default"/>
      </w:rPr>
    </w:lvl>
    <w:lvl w:ilvl="3" w:tplc="19343E98" w:tentative="1">
      <w:start w:val="1"/>
      <w:numFmt w:val="bullet"/>
      <w:lvlText w:val="-"/>
      <w:lvlJc w:val="left"/>
      <w:pPr>
        <w:tabs>
          <w:tab w:val="num" w:pos="2520"/>
        </w:tabs>
        <w:ind w:left="2520" w:hanging="360"/>
      </w:pPr>
      <w:rPr>
        <w:rFonts w:ascii="Arial" w:hAnsi="Arial" w:hint="default"/>
      </w:rPr>
    </w:lvl>
    <w:lvl w:ilvl="4" w:tplc="B4CC95DA" w:tentative="1">
      <w:start w:val="1"/>
      <w:numFmt w:val="bullet"/>
      <w:lvlText w:val="-"/>
      <w:lvlJc w:val="left"/>
      <w:pPr>
        <w:tabs>
          <w:tab w:val="num" w:pos="3240"/>
        </w:tabs>
        <w:ind w:left="3240" w:hanging="360"/>
      </w:pPr>
      <w:rPr>
        <w:rFonts w:ascii="Arial" w:hAnsi="Arial" w:hint="default"/>
      </w:rPr>
    </w:lvl>
    <w:lvl w:ilvl="5" w:tplc="75FCB264" w:tentative="1">
      <w:start w:val="1"/>
      <w:numFmt w:val="bullet"/>
      <w:lvlText w:val="-"/>
      <w:lvlJc w:val="left"/>
      <w:pPr>
        <w:tabs>
          <w:tab w:val="num" w:pos="3960"/>
        </w:tabs>
        <w:ind w:left="3960" w:hanging="360"/>
      </w:pPr>
      <w:rPr>
        <w:rFonts w:ascii="Arial" w:hAnsi="Arial" w:hint="default"/>
      </w:rPr>
    </w:lvl>
    <w:lvl w:ilvl="6" w:tplc="54E2FC0C" w:tentative="1">
      <w:start w:val="1"/>
      <w:numFmt w:val="bullet"/>
      <w:lvlText w:val="-"/>
      <w:lvlJc w:val="left"/>
      <w:pPr>
        <w:tabs>
          <w:tab w:val="num" w:pos="4680"/>
        </w:tabs>
        <w:ind w:left="4680" w:hanging="360"/>
      </w:pPr>
      <w:rPr>
        <w:rFonts w:ascii="Arial" w:hAnsi="Arial" w:hint="default"/>
      </w:rPr>
    </w:lvl>
    <w:lvl w:ilvl="7" w:tplc="FF4CD48E" w:tentative="1">
      <w:start w:val="1"/>
      <w:numFmt w:val="bullet"/>
      <w:lvlText w:val="-"/>
      <w:lvlJc w:val="left"/>
      <w:pPr>
        <w:tabs>
          <w:tab w:val="num" w:pos="5400"/>
        </w:tabs>
        <w:ind w:left="5400" w:hanging="360"/>
      </w:pPr>
      <w:rPr>
        <w:rFonts w:ascii="Arial" w:hAnsi="Arial" w:hint="default"/>
      </w:rPr>
    </w:lvl>
    <w:lvl w:ilvl="8" w:tplc="C67E6F00"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66CC7930"/>
    <w:multiLevelType w:val="multilevel"/>
    <w:tmpl w:val="011601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 w15:restartNumberingAfterBreak="0">
    <w:nsid w:val="6CD15664"/>
    <w:multiLevelType w:val="multilevel"/>
    <w:tmpl w:val="2468EF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o"/>
      <w:lvlJc w:val="left"/>
      <w:pPr>
        <w:tabs>
          <w:tab w:val="num" w:pos="2880"/>
        </w:tabs>
        <w:ind w:left="2880" w:hanging="360"/>
      </w:pPr>
      <w:rPr>
        <w:rFonts w:ascii="Courier New" w:hAnsi="Courier New" w:cs="Courier New" w:hint="default"/>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 w15:restartNumberingAfterBreak="0">
    <w:nsid w:val="6DC97DF5"/>
    <w:multiLevelType w:val="hybridMultilevel"/>
    <w:tmpl w:val="D4264A74"/>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2452230"/>
    <w:multiLevelType w:val="hybridMultilevel"/>
    <w:tmpl w:val="1E482E5E"/>
    <w:lvl w:ilvl="0" w:tplc="28E68DB0">
      <w:numFmt w:val="bullet"/>
      <w:lvlText w:val="•"/>
      <w:lvlJc w:val="left"/>
      <w:pPr>
        <w:ind w:left="644" w:hanging="360"/>
      </w:pPr>
      <w:rPr>
        <w:rFonts w:ascii="新細明體" w:eastAsia="新細明體" w:hAnsi="新細明體" w:cs="Arial" w:hint="eastAsia"/>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4715D9B"/>
    <w:multiLevelType w:val="hybridMultilevel"/>
    <w:tmpl w:val="A93E2FE4"/>
    <w:lvl w:ilvl="0" w:tplc="A51E0B40">
      <w:start w:val="1"/>
      <w:numFmt w:val="bullet"/>
      <w:lvlText w:val="–"/>
      <w:lvlJc w:val="left"/>
      <w:pPr>
        <w:tabs>
          <w:tab w:val="num" w:pos="360"/>
        </w:tabs>
        <w:ind w:left="360" w:hanging="360"/>
      </w:pPr>
      <w:rPr>
        <w:rFonts w:ascii="Calibri Light" w:hAnsi="Calibri Light" w:hint="default"/>
      </w:rPr>
    </w:lvl>
    <w:lvl w:ilvl="1" w:tplc="037CFCDC">
      <w:start w:val="1"/>
      <w:numFmt w:val="bullet"/>
      <w:lvlText w:val="–"/>
      <w:lvlJc w:val="left"/>
      <w:pPr>
        <w:tabs>
          <w:tab w:val="num" w:pos="1080"/>
        </w:tabs>
        <w:ind w:left="1080" w:hanging="360"/>
      </w:pPr>
      <w:rPr>
        <w:rFonts w:ascii="Calibri Light" w:hAnsi="Calibri Light" w:hint="default"/>
      </w:rPr>
    </w:lvl>
    <w:lvl w:ilvl="2" w:tplc="39980D9E" w:tentative="1">
      <w:start w:val="1"/>
      <w:numFmt w:val="bullet"/>
      <w:lvlText w:val="–"/>
      <w:lvlJc w:val="left"/>
      <w:pPr>
        <w:tabs>
          <w:tab w:val="num" w:pos="1800"/>
        </w:tabs>
        <w:ind w:left="1800" w:hanging="360"/>
      </w:pPr>
      <w:rPr>
        <w:rFonts w:ascii="Calibri Light" w:hAnsi="Calibri Light" w:hint="default"/>
      </w:rPr>
    </w:lvl>
    <w:lvl w:ilvl="3" w:tplc="CC2A14FC" w:tentative="1">
      <w:start w:val="1"/>
      <w:numFmt w:val="bullet"/>
      <w:lvlText w:val="–"/>
      <w:lvlJc w:val="left"/>
      <w:pPr>
        <w:tabs>
          <w:tab w:val="num" w:pos="2520"/>
        </w:tabs>
        <w:ind w:left="2520" w:hanging="360"/>
      </w:pPr>
      <w:rPr>
        <w:rFonts w:ascii="Calibri Light" w:hAnsi="Calibri Light" w:hint="default"/>
      </w:rPr>
    </w:lvl>
    <w:lvl w:ilvl="4" w:tplc="50C86482" w:tentative="1">
      <w:start w:val="1"/>
      <w:numFmt w:val="bullet"/>
      <w:lvlText w:val="–"/>
      <w:lvlJc w:val="left"/>
      <w:pPr>
        <w:tabs>
          <w:tab w:val="num" w:pos="3240"/>
        </w:tabs>
        <w:ind w:left="3240" w:hanging="360"/>
      </w:pPr>
      <w:rPr>
        <w:rFonts w:ascii="Calibri Light" w:hAnsi="Calibri Light" w:hint="default"/>
      </w:rPr>
    </w:lvl>
    <w:lvl w:ilvl="5" w:tplc="5F8C065A" w:tentative="1">
      <w:start w:val="1"/>
      <w:numFmt w:val="bullet"/>
      <w:lvlText w:val="–"/>
      <w:lvlJc w:val="left"/>
      <w:pPr>
        <w:tabs>
          <w:tab w:val="num" w:pos="3960"/>
        </w:tabs>
        <w:ind w:left="3960" w:hanging="360"/>
      </w:pPr>
      <w:rPr>
        <w:rFonts w:ascii="Calibri Light" w:hAnsi="Calibri Light" w:hint="default"/>
      </w:rPr>
    </w:lvl>
    <w:lvl w:ilvl="6" w:tplc="E7BCB5BC" w:tentative="1">
      <w:start w:val="1"/>
      <w:numFmt w:val="bullet"/>
      <w:lvlText w:val="–"/>
      <w:lvlJc w:val="left"/>
      <w:pPr>
        <w:tabs>
          <w:tab w:val="num" w:pos="4680"/>
        </w:tabs>
        <w:ind w:left="4680" w:hanging="360"/>
      </w:pPr>
      <w:rPr>
        <w:rFonts w:ascii="Calibri Light" w:hAnsi="Calibri Light" w:hint="default"/>
      </w:rPr>
    </w:lvl>
    <w:lvl w:ilvl="7" w:tplc="93281054" w:tentative="1">
      <w:start w:val="1"/>
      <w:numFmt w:val="bullet"/>
      <w:lvlText w:val="–"/>
      <w:lvlJc w:val="left"/>
      <w:pPr>
        <w:tabs>
          <w:tab w:val="num" w:pos="5400"/>
        </w:tabs>
        <w:ind w:left="5400" w:hanging="360"/>
      </w:pPr>
      <w:rPr>
        <w:rFonts w:ascii="Calibri Light" w:hAnsi="Calibri Light" w:hint="default"/>
      </w:rPr>
    </w:lvl>
    <w:lvl w:ilvl="8" w:tplc="DFB60844" w:tentative="1">
      <w:start w:val="1"/>
      <w:numFmt w:val="bullet"/>
      <w:lvlText w:val="–"/>
      <w:lvlJc w:val="left"/>
      <w:pPr>
        <w:tabs>
          <w:tab w:val="num" w:pos="6120"/>
        </w:tabs>
        <w:ind w:left="6120" w:hanging="360"/>
      </w:pPr>
      <w:rPr>
        <w:rFonts w:ascii="Calibri Light" w:hAnsi="Calibri Light" w:hint="default"/>
      </w:rPr>
    </w:lvl>
  </w:abstractNum>
  <w:abstractNum w:abstractNumId="31" w15:restartNumberingAfterBreak="0">
    <w:nsid w:val="748973D4"/>
    <w:multiLevelType w:val="hybridMultilevel"/>
    <w:tmpl w:val="FFD0772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5895E31"/>
    <w:multiLevelType w:val="hybridMultilevel"/>
    <w:tmpl w:val="6826F7F8"/>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77F18CF"/>
    <w:multiLevelType w:val="hybridMultilevel"/>
    <w:tmpl w:val="FD403C92"/>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4" w15:restartNumberingAfterBreak="0">
    <w:nsid w:val="7784607D"/>
    <w:multiLevelType w:val="hybridMultilevel"/>
    <w:tmpl w:val="254050FC"/>
    <w:lvl w:ilvl="0" w:tplc="EED4E8CA">
      <w:numFmt w:val="bullet"/>
      <w:lvlText w:val="-"/>
      <w:lvlJc w:val="left"/>
      <w:pPr>
        <w:ind w:left="720" w:hanging="360"/>
      </w:pPr>
      <w:rPr>
        <w:rFonts w:ascii="Calibri" w:eastAsiaTheme="minorEastAsia"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244CE7"/>
    <w:multiLevelType w:val="hybridMultilevel"/>
    <w:tmpl w:val="19902E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A822599"/>
    <w:multiLevelType w:val="hybridMultilevel"/>
    <w:tmpl w:val="9EF21028"/>
    <w:lvl w:ilvl="0" w:tplc="C0425440">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7" w15:restartNumberingAfterBreak="0">
    <w:nsid w:val="7AE16AB2"/>
    <w:multiLevelType w:val="hybridMultilevel"/>
    <w:tmpl w:val="CFCC78AE"/>
    <w:lvl w:ilvl="0" w:tplc="04090001">
      <w:start w:val="1"/>
      <w:numFmt w:val="bullet"/>
      <w:lvlText w:val=""/>
      <w:lvlJc w:val="left"/>
      <w:pPr>
        <w:ind w:left="360" w:hanging="360"/>
      </w:pPr>
      <w:rPr>
        <w:rFonts w:ascii="Symbol" w:hAnsi="Symbol" w:hint="default"/>
      </w:rPr>
    </w:lvl>
    <w:lvl w:ilvl="1" w:tplc="04090005">
      <w:start w:val="1"/>
      <w:numFmt w:val="bullet"/>
      <w:lvlText w:val=""/>
      <w:lvlJc w:val="left"/>
      <w:pPr>
        <w:ind w:left="1080" w:hanging="360"/>
      </w:pPr>
      <w:rPr>
        <w:rFonts w:ascii="Wingdings" w:hAnsi="Wingding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7D2D77EC"/>
    <w:multiLevelType w:val="hybridMultilevel"/>
    <w:tmpl w:val="1ECA97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B">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97726E34">
      <w:start w:val="1"/>
      <w:numFmt w:val="bullet"/>
      <w:lvlText w:val=""/>
      <w:lvlJc w:val="left"/>
      <w:pPr>
        <w:ind w:left="3600" w:hanging="360"/>
      </w:pPr>
      <w:rPr>
        <w:rFonts w:ascii="Wingdings" w:eastAsiaTheme="minorEastAsia" w:hAnsi="Wingdings"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33"/>
  </w:num>
  <w:num w:numId="3">
    <w:abstractNumId w:val="14"/>
  </w:num>
  <w:num w:numId="4">
    <w:abstractNumId w:val="37"/>
  </w:num>
  <w:num w:numId="5">
    <w:abstractNumId w:val="18"/>
  </w:num>
  <w:num w:numId="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3"/>
  </w:num>
  <w:num w:numId="11">
    <w:abstractNumId w:val="31"/>
  </w:num>
  <w:num w:numId="12">
    <w:abstractNumId w:val="19"/>
  </w:num>
  <w:num w:numId="13">
    <w:abstractNumId w:val="4"/>
  </w:num>
  <w:num w:numId="14">
    <w:abstractNumId w:val="29"/>
  </w:num>
  <w:num w:numId="15">
    <w:abstractNumId w:val="9"/>
  </w:num>
  <w:num w:numId="16">
    <w:abstractNumId w:val="34"/>
  </w:num>
  <w:num w:numId="17">
    <w:abstractNumId w:val="35"/>
  </w:num>
  <w:num w:numId="18">
    <w:abstractNumId w:val="8"/>
  </w:num>
  <w:num w:numId="19">
    <w:abstractNumId w:val="25"/>
  </w:num>
  <w:num w:numId="20">
    <w:abstractNumId w:val="12"/>
  </w:num>
  <w:num w:numId="21">
    <w:abstractNumId w:val="11"/>
  </w:num>
  <w:num w:numId="22">
    <w:abstractNumId w:val="1"/>
  </w:num>
  <w:num w:numId="23">
    <w:abstractNumId w:val="0"/>
  </w:num>
  <w:num w:numId="24">
    <w:abstractNumId w:val="10"/>
  </w:num>
  <w:num w:numId="25">
    <w:abstractNumId w:val="15"/>
  </w:num>
  <w:num w:numId="26">
    <w:abstractNumId w:val="7"/>
  </w:num>
  <w:num w:numId="27">
    <w:abstractNumId w:val="23"/>
  </w:num>
  <w:num w:numId="28">
    <w:abstractNumId w:val="20"/>
  </w:num>
  <w:num w:numId="29">
    <w:abstractNumId w:val="13"/>
  </w:num>
  <w:num w:numId="30">
    <w:abstractNumId w:val="30"/>
  </w:num>
  <w:num w:numId="31">
    <w:abstractNumId w:val="2"/>
  </w:num>
  <w:num w:numId="32">
    <w:abstractNumId w:val="2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8"/>
  </w:num>
  <w:num w:numId="36">
    <w:abstractNumId w:val="17"/>
  </w:num>
  <w:num w:numId="37">
    <w:abstractNumId w:val="38"/>
  </w:num>
  <w:num w:numId="38">
    <w:abstractNumId w:val="32"/>
  </w:num>
  <w:num w:numId="39">
    <w:abstractNumId w:val="22"/>
  </w:num>
  <w:num w:numId="40">
    <w:abstractNumId w:val="21"/>
  </w:num>
  <w:num w:numId="41">
    <w:abstractNumId w:val="5"/>
  </w:num>
  <w:num w:numId="4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removePersonalInformation/>
  <w:removeDateAndTim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TW" w:vendorID="64" w:dllVersion="131077" w:nlCheck="1" w:checkStyle="1"/>
  <w:activeWritingStyle w:appName="MSWord" w:lang="zh-CN" w:vendorID="64" w:dllVersion="131077" w:nlCheck="1" w:checkStyle="1"/>
  <w:activeWritingStyle w:appName="MSWord" w:lang="en-IN" w:vendorID="64" w:dllVersion="131078"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38C"/>
    <w:rsid w:val="00000F89"/>
    <w:rsid w:val="00001E20"/>
    <w:rsid w:val="00002124"/>
    <w:rsid w:val="00002260"/>
    <w:rsid w:val="000028BD"/>
    <w:rsid w:val="00002FC2"/>
    <w:rsid w:val="00003730"/>
    <w:rsid w:val="00003983"/>
    <w:rsid w:val="000040A0"/>
    <w:rsid w:val="00004327"/>
    <w:rsid w:val="000045B8"/>
    <w:rsid w:val="00005D53"/>
    <w:rsid w:val="000065E7"/>
    <w:rsid w:val="00006EA9"/>
    <w:rsid w:val="00006FDF"/>
    <w:rsid w:val="000071DA"/>
    <w:rsid w:val="000074C4"/>
    <w:rsid w:val="00007629"/>
    <w:rsid w:val="0001010A"/>
    <w:rsid w:val="00010325"/>
    <w:rsid w:val="00010499"/>
    <w:rsid w:val="000107F7"/>
    <w:rsid w:val="00010E97"/>
    <w:rsid w:val="00010EB7"/>
    <w:rsid w:val="000113F5"/>
    <w:rsid w:val="00011547"/>
    <w:rsid w:val="0001174A"/>
    <w:rsid w:val="00011779"/>
    <w:rsid w:val="00011EB3"/>
    <w:rsid w:val="0001213D"/>
    <w:rsid w:val="000123DE"/>
    <w:rsid w:val="000126BA"/>
    <w:rsid w:val="00013238"/>
    <w:rsid w:val="00013939"/>
    <w:rsid w:val="00013B72"/>
    <w:rsid w:val="0001404A"/>
    <w:rsid w:val="000142D1"/>
    <w:rsid w:val="00014422"/>
    <w:rsid w:val="00015651"/>
    <w:rsid w:val="00015724"/>
    <w:rsid w:val="00015AB5"/>
    <w:rsid w:val="00015B29"/>
    <w:rsid w:val="00015E3C"/>
    <w:rsid w:val="00016AF9"/>
    <w:rsid w:val="00017E78"/>
    <w:rsid w:val="00017EDA"/>
    <w:rsid w:val="00020401"/>
    <w:rsid w:val="000206F7"/>
    <w:rsid w:val="00020BD3"/>
    <w:rsid w:val="000214FB"/>
    <w:rsid w:val="0002157B"/>
    <w:rsid w:val="00021C79"/>
    <w:rsid w:val="00021D86"/>
    <w:rsid w:val="00022BC4"/>
    <w:rsid w:val="00022EF5"/>
    <w:rsid w:val="00022FC0"/>
    <w:rsid w:val="0002305A"/>
    <w:rsid w:val="000233D0"/>
    <w:rsid w:val="00024299"/>
    <w:rsid w:val="000242E1"/>
    <w:rsid w:val="00024868"/>
    <w:rsid w:val="00024B9C"/>
    <w:rsid w:val="000258B6"/>
    <w:rsid w:val="00025FCA"/>
    <w:rsid w:val="0002608D"/>
    <w:rsid w:val="0002622D"/>
    <w:rsid w:val="00026AFA"/>
    <w:rsid w:val="00026B88"/>
    <w:rsid w:val="00026E58"/>
    <w:rsid w:val="0002728F"/>
    <w:rsid w:val="0002767E"/>
    <w:rsid w:val="00030D10"/>
    <w:rsid w:val="00031705"/>
    <w:rsid w:val="0003194C"/>
    <w:rsid w:val="000322AE"/>
    <w:rsid w:val="00033135"/>
    <w:rsid w:val="0003374B"/>
    <w:rsid w:val="000339EA"/>
    <w:rsid w:val="000347B1"/>
    <w:rsid w:val="0003514F"/>
    <w:rsid w:val="000360B2"/>
    <w:rsid w:val="0003691C"/>
    <w:rsid w:val="000375A4"/>
    <w:rsid w:val="000375D5"/>
    <w:rsid w:val="00037D22"/>
    <w:rsid w:val="0004006C"/>
    <w:rsid w:val="00040B45"/>
    <w:rsid w:val="00040FA0"/>
    <w:rsid w:val="00041605"/>
    <w:rsid w:val="00041BBE"/>
    <w:rsid w:val="000426C7"/>
    <w:rsid w:val="000430DB"/>
    <w:rsid w:val="000433B4"/>
    <w:rsid w:val="000438D9"/>
    <w:rsid w:val="000441C8"/>
    <w:rsid w:val="00044B9F"/>
    <w:rsid w:val="0004500B"/>
    <w:rsid w:val="00045082"/>
    <w:rsid w:val="000452C5"/>
    <w:rsid w:val="000458A4"/>
    <w:rsid w:val="00045950"/>
    <w:rsid w:val="00045A29"/>
    <w:rsid w:val="00045D9D"/>
    <w:rsid w:val="00046048"/>
    <w:rsid w:val="00046387"/>
    <w:rsid w:val="000465BF"/>
    <w:rsid w:val="00046758"/>
    <w:rsid w:val="00046AAF"/>
    <w:rsid w:val="0004716E"/>
    <w:rsid w:val="000471AC"/>
    <w:rsid w:val="00047A20"/>
    <w:rsid w:val="00047B2D"/>
    <w:rsid w:val="00047E34"/>
    <w:rsid w:val="00047F7B"/>
    <w:rsid w:val="0005045A"/>
    <w:rsid w:val="00050533"/>
    <w:rsid w:val="00050744"/>
    <w:rsid w:val="00050C44"/>
    <w:rsid w:val="00050EB1"/>
    <w:rsid w:val="00051040"/>
    <w:rsid w:val="000511F9"/>
    <w:rsid w:val="00051299"/>
    <w:rsid w:val="0005176F"/>
    <w:rsid w:val="00051BA1"/>
    <w:rsid w:val="00052183"/>
    <w:rsid w:val="000528A2"/>
    <w:rsid w:val="000528F0"/>
    <w:rsid w:val="00052AC2"/>
    <w:rsid w:val="00052CBB"/>
    <w:rsid w:val="00053676"/>
    <w:rsid w:val="00055006"/>
    <w:rsid w:val="000551AD"/>
    <w:rsid w:val="00055B54"/>
    <w:rsid w:val="00056544"/>
    <w:rsid w:val="000569CE"/>
    <w:rsid w:val="00056C39"/>
    <w:rsid w:val="000571F7"/>
    <w:rsid w:val="00057677"/>
    <w:rsid w:val="000576E5"/>
    <w:rsid w:val="000578EA"/>
    <w:rsid w:val="000608E4"/>
    <w:rsid w:val="00060B54"/>
    <w:rsid w:val="00060DC1"/>
    <w:rsid w:val="0006125C"/>
    <w:rsid w:val="000618D4"/>
    <w:rsid w:val="00061AED"/>
    <w:rsid w:val="00061E91"/>
    <w:rsid w:val="000624A2"/>
    <w:rsid w:val="0006251F"/>
    <w:rsid w:val="00062B72"/>
    <w:rsid w:val="0006320D"/>
    <w:rsid w:val="00063413"/>
    <w:rsid w:val="00063D9E"/>
    <w:rsid w:val="00063E31"/>
    <w:rsid w:val="000641A5"/>
    <w:rsid w:val="0006497B"/>
    <w:rsid w:val="00064AD3"/>
    <w:rsid w:val="0006512E"/>
    <w:rsid w:val="000654ED"/>
    <w:rsid w:val="000655D9"/>
    <w:rsid w:val="00065792"/>
    <w:rsid w:val="000658AF"/>
    <w:rsid w:val="000663AE"/>
    <w:rsid w:val="00066781"/>
    <w:rsid w:val="00066954"/>
    <w:rsid w:val="0006753B"/>
    <w:rsid w:val="00070917"/>
    <w:rsid w:val="000712C4"/>
    <w:rsid w:val="000718D7"/>
    <w:rsid w:val="00071CD5"/>
    <w:rsid w:val="000720DB"/>
    <w:rsid w:val="00072306"/>
    <w:rsid w:val="000728F5"/>
    <w:rsid w:val="0007292F"/>
    <w:rsid w:val="00072BCC"/>
    <w:rsid w:val="00073333"/>
    <w:rsid w:val="00073690"/>
    <w:rsid w:val="000739E8"/>
    <w:rsid w:val="0007409C"/>
    <w:rsid w:val="00074289"/>
    <w:rsid w:val="00074589"/>
    <w:rsid w:val="00075109"/>
    <w:rsid w:val="0007548F"/>
    <w:rsid w:val="00075624"/>
    <w:rsid w:val="00075E03"/>
    <w:rsid w:val="00075EAA"/>
    <w:rsid w:val="000761AF"/>
    <w:rsid w:val="000761E6"/>
    <w:rsid w:val="00076BA5"/>
    <w:rsid w:val="000779B0"/>
    <w:rsid w:val="00077D38"/>
    <w:rsid w:val="00080592"/>
    <w:rsid w:val="000808A6"/>
    <w:rsid w:val="00080F6F"/>
    <w:rsid w:val="00081AF1"/>
    <w:rsid w:val="00081C3A"/>
    <w:rsid w:val="00082B7E"/>
    <w:rsid w:val="000836C7"/>
    <w:rsid w:val="00083EDD"/>
    <w:rsid w:val="00084067"/>
    <w:rsid w:val="00084276"/>
    <w:rsid w:val="00084649"/>
    <w:rsid w:val="0008527D"/>
    <w:rsid w:val="0008578B"/>
    <w:rsid w:val="00085CD3"/>
    <w:rsid w:val="00086108"/>
    <w:rsid w:val="00086253"/>
    <w:rsid w:val="000862ED"/>
    <w:rsid w:val="000863AB"/>
    <w:rsid w:val="00086B76"/>
    <w:rsid w:val="00086DDF"/>
    <w:rsid w:val="00086F80"/>
    <w:rsid w:val="0008734C"/>
    <w:rsid w:val="00087724"/>
    <w:rsid w:val="00087E1C"/>
    <w:rsid w:val="000902FF"/>
    <w:rsid w:val="00090686"/>
    <w:rsid w:val="000906E3"/>
    <w:rsid w:val="000908C7"/>
    <w:rsid w:val="00090AD9"/>
    <w:rsid w:val="00090C5C"/>
    <w:rsid w:val="00090E3E"/>
    <w:rsid w:val="00091F15"/>
    <w:rsid w:val="00092716"/>
    <w:rsid w:val="00092EE2"/>
    <w:rsid w:val="0009343C"/>
    <w:rsid w:val="0009370B"/>
    <w:rsid w:val="000955A2"/>
    <w:rsid w:val="000962CB"/>
    <w:rsid w:val="000965C5"/>
    <w:rsid w:val="00097065"/>
    <w:rsid w:val="00097549"/>
    <w:rsid w:val="00097642"/>
    <w:rsid w:val="000978ED"/>
    <w:rsid w:val="0009795B"/>
    <w:rsid w:val="00097966"/>
    <w:rsid w:val="00097D3A"/>
    <w:rsid w:val="000A002E"/>
    <w:rsid w:val="000A0E52"/>
    <w:rsid w:val="000A1416"/>
    <w:rsid w:val="000A20BA"/>
    <w:rsid w:val="000A21A2"/>
    <w:rsid w:val="000A248B"/>
    <w:rsid w:val="000A2776"/>
    <w:rsid w:val="000A2B39"/>
    <w:rsid w:val="000A3327"/>
    <w:rsid w:val="000A341C"/>
    <w:rsid w:val="000A3B57"/>
    <w:rsid w:val="000A3F6C"/>
    <w:rsid w:val="000A4AF6"/>
    <w:rsid w:val="000A4E95"/>
    <w:rsid w:val="000A511A"/>
    <w:rsid w:val="000A520E"/>
    <w:rsid w:val="000A5924"/>
    <w:rsid w:val="000A6D97"/>
    <w:rsid w:val="000A7500"/>
    <w:rsid w:val="000A7E07"/>
    <w:rsid w:val="000B0210"/>
    <w:rsid w:val="000B03FF"/>
    <w:rsid w:val="000B07D7"/>
    <w:rsid w:val="000B084D"/>
    <w:rsid w:val="000B0DFE"/>
    <w:rsid w:val="000B1497"/>
    <w:rsid w:val="000B18D4"/>
    <w:rsid w:val="000B1E07"/>
    <w:rsid w:val="000B2705"/>
    <w:rsid w:val="000B2BF9"/>
    <w:rsid w:val="000B423B"/>
    <w:rsid w:val="000B437A"/>
    <w:rsid w:val="000B4833"/>
    <w:rsid w:val="000B4D35"/>
    <w:rsid w:val="000B4F5D"/>
    <w:rsid w:val="000B5383"/>
    <w:rsid w:val="000B53C1"/>
    <w:rsid w:val="000B6052"/>
    <w:rsid w:val="000B616A"/>
    <w:rsid w:val="000B666B"/>
    <w:rsid w:val="000B68AB"/>
    <w:rsid w:val="000B70FC"/>
    <w:rsid w:val="000B7727"/>
    <w:rsid w:val="000C00EA"/>
    <w:rsid w:val="000C061B"/>
    <w:rsid w:val="000C0A3C"/>
    <w:rsid w:val="000C0C04"/>
    <w:rsid w:val="000C0C49"/>
    <w:rsid w:val="000C144F"/>
    <w:rsid w:val="000C1653"/>
    <w:rsid w:val="000C19E0"/>
    <w:rsid w:val="000C2102"/>
    <w:rsid w:val="000C2209"/>
    <w:rsid w:val="000C2679"/>
    <w:rsid w:val="000C2B8A"/>
    <w:rsid w:val="000C2D07"/>
    <w:rsid w:val="000C328C"/>
    <w:rsid w:val="000C333F"/>
    <w:rsid w:val="000C395F"/>
    <w:rsid w:val="000C3BA5"/>
    <w:rsid w:val="000C3DC5"/>
    <w:rsid w:val="000C446B"/>
    <w:rsid w:val="000C4DE9"/>
    <w:rsid w:val="000C513B"/>
    <w:rsid w:val="000C51E2"/>
    <w:rsid w:val="000C55B8"/>
    <w:rsid w:val="000C590F"/>
    <w:rsid w:val="000C5A67"/>
    <w:rsid w:val="000C64BB"/>
    <w:rsid w:val="000C658E"/>
    <w:rsid w:val="000C662C"/>
    <w:rsid w:val="000C69FC"/>
    <w:rsid w:val="000C6AD8"/>
    <w:rsid w:val="000C6E02"/>
    <w:rsid w:val="000C7613"/>
    <w:rsid w:val="000C7618"/>
    <w:rsid w:val="000C76A8"/>
    <w:rsid w:val="000C78F1"/>
    <w:rsid w:val="000D0135"/>
    <w:rsid w:val="000D05E2"/>
    <w:rsid w:val="000D0A91"/>
    <w:rsid w:val="000D0DC3"/>
    <w:rsid w:val="000D1281"/>
    <w:rsid w:val="000D1577"/>
    <w:rsid w:val="000D1BCF"/>
    <w:rsid w:val="000D296A"/>
    <w:rsid w:val="000D2B90"/>
    <w:rsid w:val="000D3479"/>
    <w:rsid w:val="000D3912"/>
    <w:rsid w:val="000D3AC1"/>
    <w:rsid w:val="000D47B9"/>
    <w:rsid w:val="000D5221"/>
    <w:rsid w:val="000D574D"/>
    <w:rsid w:val="000D59E5"/>
    <w:rsid w:val="000D64A3"/>
    <w:rsid w:val="000D681A"/>
    <w:rsid w:val="000D79AC"/>
    <w:rsid w:val="000E0C7D"/>
    <w:rsid w:val="000E0E0B"/>
    <w:rsid w:val="000E1102"/>
    <w:rsid w:val="000E1607"/>
    <w:rsid w:val="000E1A0E"/>
    <w:rsid w:val="000E27CF"/>
    <w:rsid w:val="000E28FC"/>
    <w:rsid w:val="000E2A07"/>
    <w:rsid w:val="000E2E88"/>
    <w:rsid w:val="000E3379"/>
    <w:rsid w:val="000E3688"/>
    <w:rsid w:val="000E47D7"/>
    <w:rsid w:val="000E4DA1"/>
    <w:rsid w:val="000E500E"/>
    <w:rsid w:val="000E5159"/>
    <w:rsid w:val="000E5360"/>
    <w:rsid w:val="000E59BF"/>
    <w:rsid w:val="000E6654"/>
    <w:rsid w:val="000E670C"/>
    <w:rsid w:val="000E6E5C"/>
    <w:rsid w:val="000E706C"/>
    <w:rsid w:val="000E70B9"/>
    <w:rsid w:val="000E70F0"/>
    <w:rsid w:val="000E7A5F"/>
    <w:rsid w:val="000E7AFA"/>
    <w:rsid w:val="000F0726"/>
    <w:rsid w:val="000F0A94"/>
    <w:rsid w:val="000F0B53"/>
    <w:rsid w:val="000F1CC9"/>
    <w:rsid w:val="000F1D50"/>
    <w:rsid w:val="000F1EB5"/>
    <w:rsid w:val="000F20AC"/>
    <w:rsid w:val="000F2BB0"/>
    <w:rsid w:val="000F44B0"/>
    <w:rsid w:val="000F4C50"/>
    <w:rsid w:val="000F4D06"/>
    <w:rsid w:val="000F5150"/>
    <w:rsid w:val="000F523B"/>
    <w:rsid w:val="000F5817"/>
    <w:rsid w:val="000F6437"/>
    <w:rsid w:val="000F68E0"/>
    <w:rsid w:val="000F6ABB"/>
    <w:rsid w:val="000F6BBF"/>
    <w:rsid w:val="000F6E42"/>
    <w:rsid w:val="000F739D"/>
    <w:rsid w:val="000F787E"/>
    <w:rsid w:val="000F79CA"/>
    <w:rsid w:val="000F7B73"/>
    <w:rsid w:val="000F7BA3"/>
    <w:rsid w:val="000F7C22"/>
    <w:rsid w:val="000F7F8F"/>
    <w:rsid w:val="001003B9"/>
    <w:rsid w:val="00101475"/>
    <w:rsid w:val="00102449"/>
    <w:rsid w:val="00102895"/>
    <w:rsid w:val="00102A51"/>
    <w:rsid w:val="00102A61"/>
    <w:rsid w:val="00103677"/>
    <w:rsid w:val="00103D09"/>
    <w:rsid w:val="00103F10"/>
    <w:rsid w:val="001042E4"/>
    <w:rsid w:val="00104476"/>
    <w:rsid w:val="00104F3B"/>
    <w:rsid w:val="00105A55"/>
    <w:rsid w:val="00105D4D"/>
    <w:rsid w:val="00105DF5"/>
    <w:rsid w:val="00105FE2"/>
    <w:rsid w:val="0010602F"/>
    <w:rsid w:val="0010668E"/>
    <w:rsid w:val="00106AF9"/>
    <w:rsid w:val="001071F8"/>
    <w:rsid w:val="0010778B"/>
    <w:rsid w:val="00107ED5"/>
    <w:rsid w:val="001109D2"/>
    <w:rsid w:val="00110D2D"/>
    <w:rsid w:val="0011120D"/>
    <w:rsid w:val="00111C2D"/>
    <w:rsid w:val="00111FEA"/>
    <w:rsid w:val="001120CD"/>
    <w:rsid w:val="00112D3D"/>
    <w:rsid w:val="0011308B"/>
    <w:rsid w:val="00113263"/>
    <w:rsid w:val="0011336D"/>
    <w:rsid w:val="001136F9"/>
    <w:rsid w:val="001137DE"/>
    <w:rsid w:val="00114843"/>
    <w:rsid w:val="001150C2"/>
    <w:rsid w:val="0011522C"/>
    <w:rsid w:val="00115388"/>
    <w:rsid w:val="001156B8"/>
    <w:rsid w:val="00115E11"/>
    <w:rsid w:val="00116216"/>
    <w:rsid w:val="0011685D"/>
    <w:rsid w:val="00116ACA"/>
    <w:rsid w:val="00116CDB"/>
    <w:rsid w:val="001173FA"/>
    <w:rsid w:val="00120801"/>
    <w:rsid w:val="001212FC"/>
    <w:rsid w:val="00121327"/>
    <w:rsid w:val="00121BC1"/>
    <w:rsid w:val="00121DAF"/>
    <w:rsid w:val="001228AF"/>
    <w:rsid w:val="00122B47"/>
    <w:rsid w:val="00123099"/>
    <w:rsid w:val="0012339C"/>
    <w:rsid w:val="001244EB"/>
    <w:rsid w:val="001246D6"/>
    <w:rsid w:val="0012482E"/>
    <w:rsid w:val="001252C5"/>
    <w:rsid w:val="00125309"/>
    <w:rsid w:val="0012565D"/>
    <w:rsid w:val="00125AAA"/>
    <w:rsid w:val="00125D68"/>
    <w:rsid w:val="00125E2D"/>
    <w:rsid w:val="001261CF"/>
    <w:rsid w:val="001265DC"/>
    <w:rsid w:val="00126931"/>
    <w:rsid w:val="001273A9"/>
    <w:rsid w:val="001273E0"/>
    <w:rsid w:val="001276B0"/>
    <w:rsid w:val="00127A0A"/>
    <w:rsid w:val="00127A36"/>
    <w:rsid w:val="00127D01"/>
    <w:rsid w:val="00130026"/>
    <w:rsid w:val="001308F2"/>
    <w:rsid w:val="00131482"/>
    <w:rsid w:val="0013183A"/>
    <w:rsid w:val="00131FEF"/>
    <w:rsid w:val="0013201C"/>
    <w:rsid w:val="0013293A"/>
    <w:rsid w:val="00132CE5"/>
    <w:rsid w:val="001338FB"/>
    <w:rsid w:val="00134041"/>
    <w:rsid w:val="00134F02"/>
    <w:rsid w:val="0013568D"/>
    <w:rsid w:val="00135864"/>
    <w:rsid w:val="00135B09"/>
    <w:rsid w:val="00136167"/>
    <w:rsid w:val="0013653E"/>
    <w:rsid w:val="00136AA0"/>
    <w:rsid w:val="001371ED"/>
    <w:rsid w:val="001375A2"/>
    <w:rsid w:val="00137807"/>
    <w:rsid w:val="00137D03"/>
    <w:rsid w:val="00137D78"/>
    <w:rsid w:val="00137E55"/>
    <w:rsid w:val="00140808"/>
    <w:rsid w:val="00140B34"/>
    <w:rsid w:val="00140F12"/>
    <w:rsid w:val="00141173"/>
    <w:rsid w:val="0014126D"/>
    <w:rsid w:val="00141A71"/>
    <w:rsid w:val="00141B12"/>
    <w:rsid w:val="00141D87"/>
    <w:rsid w:val="00141D89"/>
    <w:rsid w:val="00142017"/>
    <w:rsid w:val="001424C0"/>
    <w:rsid w:val="0014269B"/>
    <w:rsid w:val="0014294C"/>
    <w:rsid w:val="001433DD"/>
    <w:rsid w:val="00143533"/>
    <w:rsid w:val="0014399E"/>
    <w:rsid w:val="00143A10"/>
    <w:rsid w:val="00144999"/>
    <w:rsid w:val="00144B9F"/>
    <w:rsid w:val="001451B1"/>
    <w:rsid w:val="00145478"/>
    <w:rsid w:val="00145495"/>
    <w:rsid w:val="00145666"/>
    <w:rsid w:val="00145AE5"/>
    <w:rsid w:val="00145E46"/>
    <w:rsid w:val="00146A8E"/>
    <w:rsid w:val="00146BB4"/>
    <w:rsid w:val="0015087F"/>
    <w:rsid w:val="00151039"/>
    <w:rsid w:val="0015103B"/>
    <w:rsid w:val="00151870"/>
    <w:rsid w:val="0015216A"/>
    <w:rsid w:val="00153548"/>
    <w:rsid w:val="00153DF5"/>
    <w:rsid w:val="0015409C"/>
    <w:rsid w:val="001540A1"/>
    <w:rsid w:val="00154414"/>
    <w:rsid w:val="001548DB"/>
    <w:rsid w:val="00154F4A"/>
    <w:rsid w:val="00155040"/>
    <w:rsid w:val="001553CD"/>
    <w:rsid w:val="00155619"/>
    <w:rsid w:val="001557B5"/>
    <w:rsid w:val="0015634A"/>
    <w:rsid w:val="00156435"/>
    <w:rsid w:val="0015643D"/>
    <w:rsid w:val="0015692F"/>
    <w:rsid w:val="001574B7"/>
    <w:rsid w:val="00157A65"/>
    <w:rsid w:val="001607D6"/>
    <w:rsid w:val="00160D13"/>
    <w:rsid w:val="00160EF9"/>
    <w:rsid w:val="001622BA"/>
    <w:rsid w:val="00162FAF"/>
    <w:rsid w:val="0016308F"/>
    <w:rsid w:val="0016345A"/>
    <w:rsid w:val="001640AB"/>
    <w:rsid w:val="00164597"/>
    <w:rsid w:val="00164998"/>
    <w:rsid w:val="00165033"/>
    <w:rsid w:val="00165341"/>
    <w:rsid w:val="00165365"/>
    <w:rsid w:val="00165A2A"/>
    <w:rsid w:val="00165BBD"/>
    <w:rsid w:val="00165F05"/>
    <w:rsid w:val="0016622D"/>
    <w:rsid w:val="001662E9"/>
    <w:rsid w:val="001669F1"/>
    <w:rsid w:val="00166B1C"/>
    <w:rsid w:val="00166E54"/>
    <w:rsid w:val="001670EA"/>
    <w:rsid w:val="001674A0"/>
    <w:rsid w:val="001678B0"/>
    <w:rsid w:val="001679A7"/>
    <w:rsid w:val="00170265"/>
    <w:rsid w:val="001705E8"/>
    <w:rsid w:val="001708EF"/>
    <w:rsid w:val="00170D96"/>
    <w:rsid w:val="00171A9B"/>
    <w:rsid w:val="00171EB3"/>
    <w:rsid w:val="0017245C"/>
    <w:rsid w:val="001734F1"/>
    <w:rsid w:val="001742A7"/>
    <w:rsid w:val="0017463D"/>
    <w:rsid w:val="00175501"/>
    <w:rsid w:val="00175715"/>
    <w:rsid w:val="00176645"/>
    <w:rsid w:val="00176ED6"/>
    <w:rsid w:val="00176FA0"/>
    <w:rsid w:val="00180069"/>
    <w:rsid w:val="0018079B"/>
    <w:rsid w:val="00180811"/>
    <w:rsid w:val="0018082A"/>
    <w:rsid w:val="001815BF"/>
    <w:rsid w:val="00181970"/>
    <w:rsid w:val="0018198B"/>
    <w:rsid w:val="00182199"/>
    <w:rsid w:val="00182949"/>
    <w:rsid w:val="00182A76"/>
    <w:rsid w:val="00182E66"/>
    <w:rsid w:val="00182E91"/>
    <w:rsid w:val="0018354F"/>
    <w:rsid w:val="001837A5"/>
    <w:rsid w:val="0018393F"/>
    <w:rsid w:val="00183A46"/>
    <w:rsid w:val="00183A96"/>
    <w:rsid w:val="00183E1C"/>
    <w:rsid w:val="00184C12"/>
    <w:rsid w:val="00184C73"/>
    <w:rsid w:val="00184F97"/>
    <w:rsid w:val="001850B7"/>
    <w:rsid w:val="001850E5"/>
    <w:rsid w:val="00185284"/>
    <w:rsid w:val="0018571A"/>
    <w:rsid w:val="0018578F"/>
    <w:rsid w:val="00185A0A"/>
    <w:rsid w:val="00186AD6"/>
    <w:rsid w:val="001876EE"/>
    <w:rsid w:val="001877D4"/>
    <w:rsid w:val="00190041"/>
    <w:rsid w:val="001901B1"/>
    <w:rsid w:val="00190D94"/>
    <w:rsid w:val="001911FB"/>
    <w:rsid w:val="00191A8A"/>
    <w:rsid w:val="00191B99"/>
    <w:rsid w:val="00191E02"/>
    <w:rsid w:val="001926DA"/>
    <w:rsid w:val="001938FF"/>
    <w:rsid w:val="00193934"/>
    <w:rsid w:val="001942DB"/>
    <w:rsid w:val="00194A8E"/>
    <w:rsid w:val="00194D37"/>
    <w:rsid w:val="0019506D"/>
    <w:rsid w:val="00195217"/>
    <w:rsid w:val="00195BFF"/>
    <w:rsid w:val="0019636C"/>
    <w:rsid w:val="0019696E"/>
    <w:rsid w:val="0019714C"/>
    <w:rsid w:val="001A027D"/>
    <w:rsid w:val="001A07BA"/>
    <w:rsid w:val="001A080C"/>
    <w:rsid w:val="001A0989"/>
    <w:rsid w:val="001A1035"/>
    <w:rsid w:val="001A14E6"/>
    <w:rsid w:val="001A17B6"/>
    <w:rsid w:val="001A19A7"/>
    <w:rsid w:val="001A1CA1"/>
    <w:rsid w:val="001A225A"/>
    <w:rsid w:val="001A29BC"/>
    <w:rsid w:val="001A2C26"/>
    <w:rsid w:val="001A338D"/>
    <w:rsid w:val="001A3853"/>
    <w:rsid w:val="001A38CD"/>
    <w:rsid w:val="001A3E40"/>
    <w:rsid w:val="001A3E54"/>
    <w:rsid w:val="001A3EF3"/>
    <w:rsid w:val="001A430C"/>
    <w:rsid w:val="001A549A"/>
    <w:rsid w:val="001A5630"/>
    <w:rsid w:val="001A5723"/>
    <w:rsid w:val="001A59C1"/>
    <w:rsid w:val="001A697D"/>
    <w:rsid w:val="001A6A29"/>
    <w:rsid w:val="001A6EE8"/>
    <w:rsid w:val="001A719D"/>
    <w:rsid w:val="001A780E"/>
    <w:rsid w:val="001A7B58"/>
    <w:rsid w:val="001B01A4"/>
    <w:rsid w:val="001B070F"/>
    <w:rsid w:val="001B0F45"/>
    <w:rsid w:val="001B1089"/>
    <w:rsid w:val="001B128B"/>
    <w:rsid w:val="001B16CA"/>
    <w:rsid w:val="001B1D2E"/>
    <w:rsid w:val="001B36AA"/>
    <w:rsid w:val="001B3994"/>
    <w:rsid w:val="001B42B2"/>
    <w:rsid w:val="001B4D82"/>
    <w:rsid w:val="001B5024"/>
    <w:rsid w:val="001B52F9"/>
    <w:rsid w:val="001B55B0"/>
    <w:rsid w:val="001B7AA5"/>
    <w:rsid w:val="001C0017"/>
    <w:rsid w:val="001C016A"/>
    <w:rsid w:val="001C0284"/>
    <w:rsid w:val="001C04DD"/>
    <w:rsid w:val="001C0504"/>
    <w:rsid w:val="001C125B"/>
    <w:rsid w:val="001C15DA"/>
    <w:rsid w:val="001C2489"/>
    <w:rsid w:val="001C2809"/>
    <w:rsid w:val="001C393C"/>
    <w:rsid w:val="001C39C9"/>
    <w:rsid w:val="001C3B01"/>
    <w:rsid w:val="001C3B21"/>
    <w:rsid w:val="001C4054"/>
    <w:rsid w:val="001C4302"/>
    <w:rsid w:val="001C4337"/>
    <w:rsid w:val="001C4C76"/>
    <w:rsid w:val="001C4D9F"/>
    <w:rsid w:val="001C5CFF"/>
    <w:rsid w:val="001C5DF9"/>
    <w:rsid w:val="001C5E7D"/>
    <w:rsid w:val="001C5FCE"/>
    <w:rsid w:val="001C60A5"/>
    <w:rsid w:val="001C6A2E"/>
    <w:rsid w:val="001C7FC4"/>
    <w:rsid w:val="001D0567"/>
    <w:rsid w:val="001D0729"/>
    <w:rsid w:val="001D0867"/>
    <w:rsid w:val="001D0AEE"/>
    <w:rsid w:val="001D1B94"/>
    <w:rsid w:val="001D202B"/>
    <w:rsid w:val="001D2C0A"/>
    <w:rsid w:val="001D2C8A"/>
    <w:rsid w:val="001D3090"/>
    <w:rsid w:val="001D3353"/>
    <w:rsid w:val="001D3A72"/>
    <w:rsid w:val="001D4501"/>
    <w:rsid w:val="001D49A2"/>
    <w:rsid w:val="001D4FDF"/>
    <w:rsid w:val="001D574C"/>
    <w:rsid w:val="001D5DE8"/>
    <w:rsid w:val="001D61E6"/>
    <w:rsid w:val="001D6A7C"/>
    <w:rsid w:val="001D7037"/>
    <w:rsid w:val="001D7B87"/>
    <w:rsid w:val="001E0735"/>
    <w:rsid w:val="001E0DC4"/>
    <w:rsid w:val="001E118F"/>
    <w:rsid w:val="001E11AE"/>
    <w:rsid w:val="001E16EA"/>
    <w:rsid w:val="001E18E9"/>
    <w:rsid w:val="001E1F66"/>
    <w:rsid w:val="001E2262"/>
    <w:rsid w:val="001E2828"/>
    <w:rsid w:val="001E28CE"/>
    <w:rsid w:val="001E2C4C"/>
    <w:rsid w:val="001E32CE"/>
    <w:rsid w:val="001E32E0"/>
    <w:rsid w:val="001E3482"/>
    <w:rsid w:val="001E3C03"/>
    <w:rsid w:val="001E496E"/>
    <w:rsid w:val="001E4B0A"/>
    <w:rsid w:val="001E5776"/>
    <w:rsid w:val="001E6908"/>
    <w:rsid w:val="001E743E"/>
    <w:rsid w:val="001E7D1E"/>
    <w:rsid w:val="001F02F8"/>
    <w:rsid w:val="001F1085"/>
    <w:rsid w:val="001F1203"/>
    <w:rsid w:val="001F13FA"/>
    <w:rsid w:val="001F1EFE"/>
    <w:rsid w:val="001F24B2"/>
    <w:rsid w:val="001F25DB"/>
    <w:rsid w:val="001F2B6F"/>
    <w:rsid w:val="001F2E84"/>
    <w:rsid w:val="001F3D75"/>
    <w:rsid w:val="001F418F"/>
    <w:rsid w:val="001F43BB"/>
    <w:rsid w:val="001F4AFB"/>
    <w:rsid w:val="001F4F66"/>
    <w:rsid w:val="001F4FCC"/>
    <w:rsid w:val="001F4FD1"/>
    <w:rsid w:val="001F5019"/>
    <w:rsid w:val="001F5070"/>
    <w:rsid w:val="001F5478"/>
    <w:rsid w:val="001F56A2"/>
    <w:rsid w:val="001F5936"/>
    <w:rsid w:val="001F6328"/>
    <w:rsid w:val="001F7312"/>
    <w:rsid w:val="001F7595"/>
    <w:rsid w:val="001F7D88"/>
    <w:rsid w:val="002007A6"/>
    <w:rsid w:val="0020110B"/>
    <w:rsid w:val="00201647"/>
    <w:rsid w:val="00201987"/>
    <w:rsid w:val="00202B08"/>
    <w:rsid w:val="002031DE"/>
    <w:rsid w:val="00203524"/>
    <w:rsid w:val="002037C9"/>
    <w:rsid w:val="0020383F"/>
    <w:rsid w:val="0020429C"/>
    <w:rsid w:val="00204B3A"/>
    <w:rsid w:val="00204BCF"/>
    <w:rsid w:val="00205750"/>
    <w:rsid w:val="002058C7"/>
    <w:rsid w:val="00205DC1"/>
    <w:rsid w:val="00206ACD"/>
    <w:rsid w:val="00206E92"/>
    <w:rsid w:val="0021063F"/>
    <w:rsid w:val="00210B54"/>
    <w:rsid w:val="00210C04"/>
    <w:rsid w:val="002113D4"/>
    <w:rsid w:val="00211BCD"/>
    <w:rsid w:val="00212BCC"/>
    <w:rsid w:val="00212C98"/>
    <w:rsid w:val="00212D47"/>
    <w:rsid w:val="00212DAD"/>
    <w:rsid w:val="0021369D"/>
    <w:rsid w:val="002149AF"/>
    <w:rsid w:val="002156F9"/>
    <w:rsid w:val="00215950"/>
    <w:rsid w:val="0021647D"/>
    <w:rsid w:val="0021678E"/>
    <w:rsid w:val="002168B5"/>
    <w:rsid w:val="002171DE"/>
    <w:rsid w:val="00217C3D"/>
    <w:rsid w:val="00217DC0"/>
    <w:rsid w:val="0022012E"/>
    <w:rsid w:val="002201D9"/>
    <w:rsid w:val="0022027F"/>
    <w:rsid w:val="002202AD"/>
    <w:rsid w:val="002202C7"/>
    <w:rsid w:val="002208A0"/>
    <w:rsid w:val="00221C1B"/>
    <w:rsid w:val="00221FC6"/>
    <w:rsid w:val="00221FF3"/>
    <w:rsid w:val="00222114"/>
    <w:rsid w:val="002224AF"/>
    <w:rsid w:val="0022251B"/>
    <w:rsid w:val="00222A7A"/>
    <w:rsid w:val="00222CCB"/>
    <w:rsid w:val="00222DF8"/>
    <w:rsid w:val="00223189"/>
    <w:rsid w:val="00223E6F"/>
    <w:rsid w:val="002240CC"/>
    <w:rsid w:val="00224280"/>
    <w:rsid w:val="002244BE"/>
    <w:rsid w:val="0022453A"/>
    <w:rsid w:val="00224A2C"/>
    <w:rsid w:val="002253E1"/>
    <w:rsid w:val="0022708E"/>
    <w:rsid w:val="002278F9"/>
    <w:rsid w:val="00227C15"/>
    <w:rsid w:val="00227C7F"/>
    <w:rsid w:val="00227D40"/>
    <w:rsid w:val="00227D90"/>
    <w:rsid w:val="00227E07"/>
    <w:rsid w:val="00227EA4"/>
    <w:rsid w:val="002303B2"/>
    <w:rsid w:val="0023055D"/>
    <w:rsid w:val="002312F4"/>
    <w:rsid w:val="0023131B"/>
    <w:rsid w:val="0023180E"/>
    <w:rsid w:val="00231FC7"/>
    <w:rsid w:val="0023209F"/>
    <w:rsid w:val="00232998"/>
    <w:rsid w:val="002332B9"/>
    <w:rsid w:val="0023360D"/>
    <w:rsid w:val="00233C5D"/>
    <w:rsid w:val="00233D8A"/>
    <w:rsid w:val="00233DFB"/>
    <w:rsid w:val="00234104"/>
    <w:rsid w:val="00234804"/>
    <w:rsid w:val="00234B4E"/>
    <w:rsid w:val="00234C01"/>
    <w:rsid w:val="00234D9C"/>
    <w:rsid w:val="002360D9"/>
    <w:rsid w:val="00236793"/>
    <w:rsid w:val="00236A97"/>
    <w:rsid w:val="00237DFA"/>
    <w:rsid w:val="0024113B"/>
    <w:rsid w:val="00241776"/>
    <w:rsid w:val="0024278A"/>
    <w:rsid w:val="00242B9F"/>
    <w:rsid w:val="00242FB9"/>
    <w:rsid w:val="0024336B"/>
    <w:rsid w:val="00243614"/>
    <w:rsid w:val="002438EB"/>
    <w:rsid w:val="002450A0"/>
    <w:rsid w:val="0024530E"/>
    <w:rsid w:val="002455EC"/>
    <w:rsid w:val="00245758"/>
    <w:rsid w:val="002457BC"/>
    <w:rsid w:val="00245F29"/>
    <w:rsid w:val="00246892"/>
    <w:rsid w:val="00246CD4"/>
    <w:rsid w:val="002472A0"/>
    <w:rsid w:val="0024766E"/>
    <w:rsid w:val="00247B7B"/>
    <w:rsid w:val="00247E26"/>
    <w:rsid w:val="00250A68"/>
    <w:rsid w:val="00251BD4"/>
    <w:rsid w:val="00251C4E"/>
    <w:rsid w:val="00251DE8"/>
    <w:rsid w:val="00252A29"/>
    <w:rsid w:val="00252B98"/>
    <w:rsid w:val="00252C17"/>
    <w:rsid w:val="00252D44"/>
    <w:rsid w:val="00252D7A"/>
    <w:rsid w:val="00253128"/>
    <w:rsid w:val="0025336C"/>
    <w:rsid w:val="002534B6"/>
    <w:rsid w:val="0025439C"/>
    <w:rsid w:val="002548A3"/>
    <w:rsid w:val="00254F29"/>
    <w:rsid w:val="002551B7"/>
    <w:rsid w:val="002552B1"/>
    <w:rsid w:val="002555E7"/>
    <w:rsid w:val="00255A37"/>
    <w:rsid w:val="00255BF0"/>
    <w:rsid w:val="00256D93"/>
    <w:rsid w:val="0025734E"/>
    <w:rsid w:val="00257578"/>
    <w:rsid w:val="00257680"/>
    <w:rsid w:val="0025784E"/>
    <w:rsid w:val="00257968"/>
    <w:rsid w:val="00260554"/>
    <w:rsid w:val="00261E32"/>
    <w:rsid w:val="002628FC"/>
    <w:rsid w:val="00262C06"/>
    <w:rsid w:val="00262F4B"/>
    <w:rsid w:val="00262FE4"/>
    <w:rsid w:val="0026380B"/>
    <w:rsid w:val="0026381F"/>
    <w:rsid w:val="0026490F"/>
    <w:rsid w:val="00264C5C"/>
    <w:rsid w:val="00265292"/>
    <w:rsid w:val="002652D5"/>
    <w:rsid w:val="0026544F"/>
    <w:rsid w:val="002657F5"/>
    <w:rsid w:val="00265ABE"/>
    <w:rsid w:val="0026666A"/>
    <w:rsid w:val="00266AF7"/>
    <w:rsid w:val="00266B59"/>
    <w:rsid w:val="002675C4"/>
    <w:rsid w:val="00267B74"/>
    <w:rsid w:val="002718C8"/>
    <w:rsid w:val="00271BFE"/>
    <w:rsid w:val="0027265B"/>
    <w:rsid w:val="002726A0"/>
    <w:rsid w:val="00272934"/>
    <w:rsid w:val="00272A1A"/>
    <w:rsid w:val="002735C9"/>
    <w:rsid w:val="00273DD3"/>
    <w:rsid w:val="00273F1A"/>
    <w:rsid w:val="002740C4"/>
    <w:rsid w:val="002742F1"/>
    <w:rsid w:val="00274E59"/>
    <w:rsid w:val="00275CE5"/>
    <w:rsid w:val="00275FDF"/>
    <w:rsid w:val="00275FEA"/>
    <w:rsid w:val="002763CF"/>
    <w:rsid w:val="002767F4"/>
    <w:rsid w:val="00276BF0"/>
    <w:rsid w:val="00277C29"/>
    <w:rsid w:val="00280062"/>
    <w:rsid w:val="0028072A"/>
    <w:rsid w:val="00280AE3"/>
    <w:rsid w:val="00280E31"/>
    <w:rsid w:val="002827C1"/>
    <w:rsid w:val="00282EB8"/>
    <w:rsid w:val="0028342A"/>
    <w:rsid w:val="00283A26"/>
    <w:rsid w:val="00283E3D"/>
    <w:rsid w:val="00284A5C"/>
    <w:rsid w:val="00284E25"/>
    <w:rsid w:val="00285079"/>
    <w:rsid w:val="00285156"/>
    <w:rsid w:val="00285509"/>
    <w:rsid w:val="00285510"/>
    <w:rsid w:val="00285BAD"/>
    <w:rsid w:val="00286463"/>
    <w:rsid w:val="002870E8"/>
    <w:rsid w:val="00287140"/>
    <w:rsid w:val="002873D1"/>
    <w:rsid w:val="00287627"/>
    <w:rsid w:val="002876E3"/>
    <w:rsid w:val="00287793"/>
    <w:rsid w:val="00287FFD"/>
    <w:rsid w:val="002916CB"/>
    <w:rsid w:val="002918A5"/>
    <w:rsid w:val="0029195E"/>
    <w:rsid w:val="00291D6E"/>
    <w:rsid w:val="002920FA"/>
    <w:rsid w:val="0029273D"/>
    <w:rsid w:val="002929BA"/>
    <w:rsid w:val="00292B5F"/>
    <w:rsid w:val="00294393"/>
    <w:rsid w:val="00295AAA"/>
    <w:rsid w:val="00296D48"/>
    <w:rsid w:val="00297AEA"/>
    <w:rsid w:val="002A014F"/>
    <w:rsid w:val="002A03AD"/>
    <w:rsid w:val="002A045F"/>
    <w:rsid w:val="002A0618"/>
    <w:rsid w:val="002A065F"/>
    <w:rsid w:val="002A118A"/>
    <w:rsid w:val="002A12B5"/>
    <w:rsid w:val="002A1985"/>
    <w:rsid w:val="002A1A31"/>
    <w:rsid w:val="002A1CC6"/>
    <w:rsid w:val="002A2345"/>
    <w:rsid w:val="002A23D9"/>
    <w:rsid w:val="002A2D8A"/>
    <w:rsid w:val="002A3282"/>
    <w:rsid w:val="002A352A"/>
    <w:rsid w:val="002A3574"/>
    <w:rsid w:val="002A38B3"/>
    <w:rsid w:val="002A4089"/>
    <w:rsid w:val="002A4A03"/>
    <w:rsid w:val="002A4AAF"/>
    <w:rsid w:val="002A4D6B"/>
    <w:rsid w:val="002A4D8B"/>
    <w:rsid w:val="002A53B1"/>
    <w:rsid w:val="002A556B"/>
    <w:rsid w:val="002A5C8C"/>
    <w:rsid w:val="002A5D40"/>
    <w:rsid w:val="002A5EBD"/>
    <w:rsid w:val="002A6E53"/>
    <w:rsid w:val="002A7275"/>
    <w:rsid w:val="002A7BC5"/>
    <w:rsid w:val="002A7EC2"/>
    <w:rsid w:val="002A7EFD"/>
    <w:rsid w:val="002B0D2C"/>
    <w:rsid w:val="002B132E"/>
    <w:rsid w:val="002B1398"/>
    <w:rsid w:val="002B14B1"/>
    <w:rsid w:val="002B22E6"/>
    <w:rsid w:val="002B2813"/>
    <w:rsid w:val="002B2B2C"/>
    <w:rsid w:val="002B2B53"/>
    <w:rsid w:val="002B347C"/>
    <w:rsid w:val="002B3642"/>
    <w:rsid w:val="002B3ECB"/>
    <w:rsid w:val="002B4073"/>
    <w:rsid w:val="002B4302"/>
    <w:rsid w:val="002B45DE"/>
    <w:rsid w:val="002B4F20"/>
    <w:rsid w:val="002B5555"/>
    <w:rsid w:val="002B59DE"/>
    <w:rsid w:val="002B5E4B"/>
    <w:rsid w:val="002B6194"/>
    <w:rsid w:val="002B67B0"/>
    <w:rsid w:val="002B693E"/>
    <w:rsid w:val="002B7E89"/>
    <w:rsid w:val="002C041E"/>
    <w:rsid w:val="002C1504"/>
    <w:rsid w:val="002C18DD"/>
    <w:rsid w:val="002C2079"/>
    <w:rsid w:val="002C20EB"/>
    <w:rsid w:val="002C21DC"/>
    <w:rsid w:val="002C2252"/>
    <w:rsid w:val="002C22E0"/>
    <w:rsid w:val="002C23B1"/>
    <w:rsid w:val="002C3628"/>
    <w:rsid w:val="002C362B"/>
    <w:rsid w:val="002C3A00"/>
    <w:rsid w:val="002C469F"/>
    <w:rsid w:val="002C4727"/>
    <w:rsid w:val="002C587F"/>
    <w:rsid w:val="002C58DA"/>
    <w:rsid w:val="002C5A0A"/>
    <w:rsid w:val="002C674A"/>
    <w:rsid w:val="002C6DD4"/>
    <w:rsid w:val="002C7A59"/>
    <w:rsid w:val="002D0792"/>
    <w:rsid w:val="002D0F69"/>
    <w:rsid w:val="002D11A3"/>
    <w:rsid w:val="002D123D"/>
    <w:rsid w:val="002D18AA"/>
    <w:rsid w:val="002D1F9A"/>
    <w:rsid w:val="002D2F97"/>
    <w:rsid w:val="002D365F"/>
    <w:rsid w:val="002D4210"/>
    <w:rsid w:val="002D5EED"/>
    <w:rsid w:val="002D6230"/>
    <w:rsid w:val="002D6310"/>
    <w:rsid w:val="002D6BBB"/>
    <w:rsid w:val="002D6C57"/>
    <w:rsid w:val="002D6F4A"/>
    <w:rsid w:val="002D701B"/>
    <w:rsid w:val="002D7417"/>
    <w:rsid w:val="002D7D10"/>
    <w:rsid w:val="002D7E03"/>
    <w:rsid w:val="002E03A9"/>
    <w:rsid w:val="002E03F9"/>
    <w:rsid w:val="002E05CD"/>
    <w:rsid w:val="002E0B5F"/>
    <w:rsid w:val="002E102C"/>
    <w:rsid w:val="002E1286"/>
    <w:rsid w:val="002E12D9"/>
    <w:rsid w:val="002E1D5A"/>
    <w:rsid w:val="002E2406"/>
    <w:rsid w:val="002E2893"/>
    <w:rsid w:val="002E2F17"/>
    <w:rsid w:val="002E395D"/>
    <w:rsid w:val="002E3AAE"/>
    <w:rsid w:val="002E45D1"/>
    <w:rsid w:val="002E47B3"/>
    <w:rsid w:val="002E49EC"/>
    <w:rsid w:val="002E52EE"/>
    <w:rsid w:val="002E5CDF"/>
    <w:rsid w:val="002E6293"/>
    <w:rsid w:val="002E673F"/>
    <w:rsid w:val="002E6C5D"/>
    <w:rsid w:val="002E78A3"/>
    <w:rsid w:val="002F033D"/>
    <w:rsid w:val="002F07BE"/>
    <w:rsid w:val="002F0B04"/>
    <w:rsid w:val="002F1859"/>
    <w:rsid w:val="002F191F"/>
    <w:rsid w:val="002F195E"/>
    <w:rsid w:val="002F19C8"/>
    <w:rsid w:val="002F1FDF"/>
    <w:rsid w:val="002F27B3"/>
    <w:rsid w:val="002F2973"/>
    <w:rsid w:val="002F337C"/>
    <w:rsid w:val="002F4078"/>
    <w:rsid w:val="002F41F9"/>
    <w:rsid w:val="002F462D"/>
    <w:rsid w:val="002F46A9"/>
    <w:rsid w:val="002F49EE"/>
    <w:rsid w:val="002F4D0A"/>
    <w:rsid w:val="002F54FD"/>
    <w:rsid w:val="002F58B3"/>
    <w:rsid w:val="002F5C9D"/>
    <w:rsid w:val="002F6028"/>
    <w:rsid w:val="002F6BBC"/>
    <w:rsid w:val="002F72DA"/>
    <w:rsid w:val="002F7AB0"/>
    <w:rsid w:val="002F7FF6"/>
    <w:rsid w:val="00301089"/>
    <w:rsid w:val="00301152"/>
    <w:rsid w:val="00301AA6"/>
    <w:rsid w:val="00301D6C"/>
    <w:rsid w:val="00301FC6"/>
    <w:rsid w:val="003024DA"/>
    <w:rsid w:val="00302AE2"/>
    <w:rsid w:val="003039AF"/>
    <w:rsid w:val="003039C5"/>
    <w:rsid w:val="003040C1"/>
    <w:rsid w:val="0030412A"/>
    <w:rsid w:val="00304518"/>
    <w:rsid w:val="003048D7"/>
    <w:rsid w:val="003056C7"/>
    <w:rsid w:val="0030590F"/>
    <w:rsid w:val="00305929"/>
    <w:rsid w:val="00306D33"/>
    <w:rsid w:val="00306F46"/>
    <w:rsid w:val="003070B3"/>
    <w:rsid w:val="003071F6"/>
    <w:rsid w:val="00310E42"/>
    <w:rsid w:val="00311290"/>
    <w:rsid w:val="003116E8"/>
    <w:rsid w:val="00311C3D"/>
    <w:rsid w:val="00311CEC"/>
    <w:rsid w:val="00311D0C"/>
    <w:rsid w:val="00311EFF"/>
    <w:rsid w:val="0031252F"/>
    <w:rsid w:val="00313CB0"/>
    <w:rsid w:val="00313F4F"/>
    <w:rsid w:val="00313F96"/>
    <w:rsid w:val="00314671"/>
    <w:rsid w:val="00314E7F"/>
    <w:rsid w:val="00315603"/>
    <w:rsid w:val="00315698"/>
    <w:rsid w:val="00315D51"/>
    <w:rsid w:val="00315D88"/>
    <w:rsid w:val="00316164"/>
    <w:rsid w:val="0031651F"/>
    <w:rsid w:val="00316AF7"/>
    <w:rsid w:val="00316CE8"/>
    <w:rsid w:val="00316FDA"/>
    <w:rsid w:val="0031730B"/>
    <w:rsid w:val="003207EE"/>
    <w:rsid w:val="003208EF"/>
    <w:rsid w:val="00320A11"/>
    <w:rsid w:val="00320C64"/>
    <w:rsid w:val="00320F0E"/>
    <w:rsid w:val="00321852"/>
    <w:rsid w:val="00322124"/>
    <w:rsid w:val="003222D5"/>
    <w:rsid w:val="00322CB8"/>
    <w:rsid w:val="0032318F"/>
    <w:rsid w:val="003232CD"/>
    <w:rsid w:val="00323AF7"/>
    <w:rsid w:val="00324667"/>
    <w:rsid w:val="00324FB3"/>
    <w:rsid w:val="003255BD"/>
    <w:rsid w:val="00325769"/>
    <w:rsid w:val="00327795"/>
    <w:rsid w:val="00327E35"/>
    <w:rsid w:val="00330477"/>
    <w:rsid w:val="00330602"/>
    <w:rsid w:val="003306EC"/>
    <w:rsid w:val="00331B87"/>
    <w:rsid w:val="00331C6A"/>
    <w:rsid w:val="00331DE0"/>
    <w:rsid w:val="00332BA5"/>
    <w:rsid w:val="00332E66"/>
    <w:rsid w:val="003339CA"/>
    <w:rsid w:val="00333E46"/>
    <w:rsid w:val="00333F52"/>
    <w:rsid w:val="003345D0"/>
    <w:rsid w:val="00334FCF"/>
    <w:rsid w:val="0033519A"/>
    <w:rsid w:val="00335642"/>
    <w:rsid w:val="00335C91"/>
    <w:rsid w:val="00335E4C"/>
    <w:rsid w:val="00336BA8"/>
    <w:rsid w:val="00336D79"/>
    <w:rsid w:val="0033740F"/>
    <w:rsid w:val="00337523"/>
    <w:rsid w:val="00337570"/>
    <w:rsid w:val="00337E97"/>
    <w:rsid w:val="003407DF"/>
    <w:rsid w:val="0034111C"/>
    <w:rsid w:val="00341A6B"/>
    <w:rsid w:val="00341AF3"/>
    <w:rsid w:val="00341D92"/>
    <w:rsid w:val="003433C0"/>
    <w:rsid w:val="00343B3E"/>
    <w:rsid w:val="00343E00"/>
    <w:rsid w:val="0034469D"/>
    <w:rsid w:val="003451B7"/>
    <w:rsid w:val="0034574F"/>
    <w:rsid w:val="00345964"/>
    <w:rsid w:val="00345996"/>
    <w:rsid w:val="00345AE3"/>
    <w:rsid w:val="00345E1C"/>
    <w:rsid w:val="0034607C"/>
    <w:rsid w:val="0034613F"/>
    <w:rsid w:val="00346236"/>
    <w:rsid w:val="0034658A"/>
    <w:rsid w:val="00346991"/>
    <w:rsid w:val="00346A2E"/>
    <w:rsid w:val="00346B19"/>
    <w:rsid w:val="00347336"/>
    <w:rsid w:val="0034787E"/>
    <w:rsid w:val="00347AD8"/>
    <w:rsid w:val="00347FEE"/>
    <w:rsid w:val="00350117"/>
    <w:rsid w:val="003503D8"/>
    <w:rsid w:val="00350931"/>
    <w:rsid w:val="00350A1E"/>
    <w:rsid w:val="00350D60"/>
    <w:rsid w:val="00351073"/>
    <w:rsid w:val="003512C6"/>
    <w:rsid w:val="003521DB"/>
    <w:rsid w:val="00352611"/>
    <w:rsid w:val="00352D11"/>
    <w:rsid w:val="00352D21"/>
    <w:rsid w:val="003538EA"/>
    <w:rsid w:val="00353A43"/>
    <w:rsid w:val="00353ABC"/>
    <w:rsid w:val="0035432D"/>
    <w:rsid w:val="00354B27"/>
    <w:rsid w:val="00354C18"/>
    <w:rsid w:val="00354D10"/>
    <w:rsid w:val="0035502B"/>
    <w:rsid w:val="003556E2"/>
    <w:rsid w:val="00355A87"/>
    <w:rsid w:val="00356029"/>
    <w:rsid w:val="00356345"/>
    <w:rsid w:val="0035638A"/>
    <w:rsid w:val="00356752"/>
    <w:rsid w:val="00356CD8"/>
    <w:rsid w:val="00356DD6"/>
    <w:rsid w:val="003575B7"/>
    <w:rsid w:val="003576E0"/>
    <w:rsid w:val="00357B40"/>
    <w:rsid w:val="00357B9C"/>
    <w:rsid w:val="00360044"/>
    <w:rsid w:val="00360693"/>
    <w:rsid w:val="003606C4"/>
    <w:rsid w:val="00360D80"/>
    <w:rsid w:val="003611E7"/>
    <w:rsid w:val="0036294F"/>
    <w:rsid w:val="003634B8"/>
    <w:rsid w:val="003642A6"/>
    <w:rsid w:val="003653DA"/>
    <w:rsid w:val="00365E36"/>
    <w:rsid w:val="00366752"/>
    <w:rsid w:val="0036687E"/>
    <w:rsid w:val="003669AE"/>
    <w:rsid w:val="003701D8"/>
    <w:rsid w:val="00370628"/>
    <w:rsid w:val="003706E0"/>
    <w:rsid w:val="00371D84"/>
    <w:rsid w:val="003721D6"/>
    <w:rsid w:val="003723BB"/>
    <w:rsid w:val="003724EA"/>
    <w:rsid w:val="00372613"/>
    <w:rsid w:val="00372A54"/>
    <w:rsid w:val="00373515"/>
    <w:rsid w:val="0037389F"/>
    <w:rsid w:val="00373F2B"/>
    <w:rsid w:val="00374D14"/>
    <w:rsid w:val="003750B6"/>
    <w:rsid w:val="00375465"/>
    <w:rsid w:val="003761FE"/>
    <w:rsid w:val="003766EB"/>
    <w:rsid w:val="00376858"/>
    <w:rsid w:val="00376AB6"/>
    <w:rsid w:val="00376E32"/>
    <w:rsid w:val="0037751C"/>
    <w:rsid w:val="003775A0"/>
    <w:rsid w:val="0037763E"/>
    <w:rsid w:val="003779FB"/>
    <w:rsid w:val="00382782"/>
    <w:rsid w:val="00382BF6"/>
    <w:rsid w:val="003831D0"/>
    <w:rsid w:val="00383379"/>
    <w:rsid w:val="00383EDE"/>
    <w:rsid w:val="00384091"/>
    <w:rsid w:val="003844F8"/>
    <w:rsid w:val="0038456D"/>
    <w:rsid w:val="0038483B"/>
    <w:rsid w:val="0038485C"/>
    <w:rsid w:val="0038494D"/>
    <w:rsid w:val="00384C81"/>
    <w:rsid w:val="003850E6"/>
    <w:rsid w:val="00385E61"/>
    <w:rsid w:val="0038757A"/>
    <w:rsid w:val="00387621"/>
    <w:rsid w:val="00387660"/>
    <w:rsid w:val="00387844"/>
    <w:rsid w:val="00387D9F"/>
    <w:rsid w:val="00390C4F"/>
    <w:rsid w:val="0039146A"/>
    <w:rsid w:val="00391E60"/>
    <w:rsid w:val="003922B1"/>
    <w:rsid w:val="0039232F"/>
    <w:rsid w:val="00392AE0"/>
    <w:rsid w:val="00392B15"/>
    <w:rsid w:val="00392D42"/>
    <w:rsid w:val="00392FD8"/>
    <w:rsid w:val="00393445"/>
    <w:rsid w:val="003939D5"/>
    <w:rsid w:val="00394075"/>
    <w:rsid w:val="00394557"/>
    <w:rsid w:val="00394F07"/>
    <w:rsid w:val="00394F41"/>
    <w:rsid w:val="003952D5"/>
    <w:rsid w:val="00395983"/>
    <w:rsid w:val="003959FB"/>
    <w:rsid w:val="00395D0D"/>
    <w:rsid w:val="00395DAE"/>
    <w:rsid w:val="0039619A"/>
    <w:rsid w:val="0039620C"/>
    <w:rsid w:val="0039649D"/>
    <w:rsid w:val="00396BE4"/>
    <w:rsid w:val="00396EFC"/>
    <w:rsid w:val="00396F6F"/>
    <w:rsid w:val="003972C8"/>
    <w:rsid w:val="00397D67"/>
    <w:rsid w:val="00397FE0"/>
    <w:rsid w:val="003A082E"/>
    <w:rsid w:val="003A0997"/>
    <w:rsid w:val="003A0ABE"/>
    <w:rsid w:val="003A12F6"/>
    <w:rsid w:val="003A2455"/>
    <w:rsid w:val="003A25A7"/>
    <w:rsid w:val="003A25B3"/>
    <w:rsid w:val="003A29EE"/>
    <w:rsid w:val="003A304A"/>
    <w:rsid w:val="003A3908"/>
    <w:rsid w:val="003A3E86"/>
    <w:rsid w:val="003A427B"/>
    <w:rsid w:val="003A4B2A"/>
    <w:rsid w:val="003A5854"/>
    <w:rsid w:val="003A597F"/>
    <w:rsid w:val="003A5DBE"/>
    <w:rsid w:val="003A6649"/>
    <w:rsid w:val="003A7548"/>
    <w:rsid w:val="003B030B"/>
    <w:rsid w:val="003B195D"/>
    <w:rsid w:val="003B1FD7"/>
    <w:rsid w:val="003B20F3"/>
    <w:rsid w:val="003B2D1E"/>
    <w:rsid w:val="003B2E6F"/>
    <w:rsid w:val="003B2EAB"/>
    <w:rsid w:val="003B2EC6"/>
    <w:rsid w:val="003B37EC"/>
    <w:rsid w:val="003B3C82"/>
    <w:rsid w:val="003B3F09"/>
    <w:rsid w:val="003B4F7B"/>
    <w:rsid w:val="003B50D7"/>
    <w:rsid w:val="003B5A7E"/>
    <w:rsid w:val="003B6070"/>
    <w:rsid w:val="003B7482"/>
    <w:rsid w:val="003B7D3F"/>
    <w:rsid w:val="003B7D58"/>
    <w:rsid w:val="003C0229"/>
    <w:rsid w:val="003C02AC"/>
    <w:rsid w:val="003C1138"/>
    <w:rsid w:val="003C157B"/>
    <w:rsid w:val="003C1D2C"/>
    <w:rsid w:val="003C1FF9"/>
    <w:rsid w:val="003C270A"/>
    <w:rsid w:val="003C2834"/>
    <w:rsid w:val="003C3010"/>
    <w:rsid w:val="003C317B"/>
    <w:rsid w:val="003C3285"/>
    <w:rsid w:val="003C3788"/>
    <w:rsid w:val="003C4896"/>
    <w:rsid w:val="003C6021"/>
    <w:rsid w:val="003C6201"/>
    <w:rsid w:val="003C65E3"/>
    <w:rsid w:val="003C6A1D"/>
    <w:rsid w:val="003C6E9B"/>
    <w:rsid w:val="003C7263"/>
    <w:rsid w:val="003C7848"/>
    <w:rsid w:val="003C7967"/>
    <w:rsid w:val="003C7A2B"/>
    <w:rsid w:val="003C7E14"/>
    <w:rsid w:val="003D004C"/>
    <w:rsid w:val="003D0416"/>
    <w:rsid w:val="003D0704"/>
    <w:rsid w:val="003D115D"/>
    <w:rsid w:val="003D2427"/>
    <w:rsid w:val="003D24D5"/>
    <w:rsid w:val="003D2544"/>
    <w:rsid w:val="003D3E60"/>
    <w:rsid w:val="003D3ECC"/>
    <w:rsid w:val="003D402B"/>
    <w:rsid w:val="003D4A58"/>
    <w:rsid w:val="003D6589"/>
    <w:rsid w:val="003D6726"/>
    <w:rsid w:val="003D6A5A"/>
    <w:rsid w:val="003D7EFC"/>
    <w:rsid w:val="003E0196"/>
    <w:rsid w:val="003E031C"/>
    <w:rsid w:val="003E03BA"/>
    <w:rsid w:val="003E051E"/>
    <w:rsid w:val="003E0C15"/>
    <w:rsid w:val="003E1746"/>
    <w:rsid w:val="003E1EDA"/>
    <w:rsid w:val="003E2175"/>
    <w:rsid w:val="003E2699"/>
    <w:rsid w:val="003E28FD"/>
    <w:rsid w:val="003E3830"/>
    <w:rsid w:val="003E3CD8"/>
    <w:rsid w:val="003E3D71"/>
    <w:rsid w:val="003E4392"/>
    <w:rsid w:val="003E4AC4"/>
    <w:rsid w:val="003E4B92"/>
    <w:rsid w:val="003E4F61"/>
    <w:rsid w:val="003E5C90"/>
    <w:rsid w:val="003E6FCA"/>
    <w:rsid w:val="003E708A"/>
    <w:rsid w:val="003E7266"/>
    <w:rsid w:val="003E763C"/>
    <w:rsid w:val="003E7B9B"/>
    <w:rsid w:val="003F032D"/>
    <w:rsid w:val="003F1086"/>
    <w:rsid w:val="003F14C2"/>
    <w:rsid w:val="003F15C1"/>
    <w:rsid w:val="003F16BE"/>
    <w:rsid w:val="003F1887"/>
    <w:rsid w:val="003F18DE"/>
    <w:rsid w:val="003F2578"/>
    <w:rsid w:val="003F2BF3"/>
    <w:rsid w:val="003F2C65"/>
    <w:rsid w:val="003F2E62"/>
    <w:rsid w:val="003F3718"/>
    <w:rsid w:val="003F3F5B"/>
    <w:rsid w:val="003F43CB"/>
    <w:rsid w:val="003F47AC"/>
    <w:rsid w:val="003F4D08"/>
    <w:rsid w:val="003F4D86"/>
    <w:rsid w:val="003F55CD"/>
    <w:rsid w:val="003F5A1C"/>
    <w:rsid w:val="003F5D86"/>
    <w:rsid w:val="003F6025"/>
    <w:rsid w:val="003F6134"/>
    <w:rsid w:val="003F6206"/>
    <w:rsid w:val="003F633D"/>
    <w:rsid w:val="003F63E5"/>
    <w:rsid w:val="003F6D98"/>
    <w:rsid w:val="003F71A0"/>
    <w:rsid w:val="003F7248"/>
    <w:rsid w:val="003F75DB"/>
    <w:rsid w:val="003F7BEF"/>
    <w:rsid w:val="00400094"/>
    <w:rsid w:val="004002E5"/>
    <w:rsid w:val="0040074F"/>
    <w:rsid w:val="0040078C"/>
    <w:rsid w:val="00400845"/>
    <w:rsid w:val="00400C30"/>
    <w:rsid w:val="00401224"/>
    <w:rsid w:val="00401675"/>
    <w:rsid w:val="00401714"/>
    <w:rsid w:val="0040213C"/>
    <w:rsid w:val="00403C4B"/>
    <w:rsid w:val="00403E08"/>
    <w:rsid w:val="00404027"/>
    <w:rsid w:val="00404195"/>
    <w:rsid w:val="00404416"/>
    <w:rsid w:val="0040469A"/>
    <w:rsid w:val="00404A0B"/>
    <w:rsid w:val="004050BE"/>
    <w:rsid w:val="004062E5"/>
    <w:rsid w:val="0040633F"/>
    <w:rsid w:val="0040762A"/>
    <w:rsid w:val="00407C5A"/>
    <w:rsid w:val="00410C11"/>
    <w:rsid w:val="0041126E"/>
    <w:rsid w:val="004113E2"/>
    <w:rsid w:val="0041147C"/>
    <w:rsid w:val="004115F8"/>
    <w:rsid w:val="00411A58"/>
    <w:rsid w:val="00411C64"/>
    <w:rsid w:val="00411D90"/>
    <w:rsid w:val="004131A7"/>
    <w:rsid w:val="00413234"/>
    <w:rsid w:val="00413B09"/>
    <w:rsid w:val="00414382"/>
    <w:rsid w:val="00414D64"/>
    <w:rsid w:val="00415289"/>
    <w:rsid w:val="004152E5"/>
    <w:rsid w:val="00415377"/>
    <w:rsid w:val="00415475"/>
    <w:rsid w:val="00415949"/>
    <w:rsid w:val="00415D63"/>
    <w:rsid w:val="00415F35"/>
    <w:rsid w:val="00416237"/>
    <w:rsid w:val="00416B32"/>
    <w:rsid w:val="00416F02"/>
    <w:rsid w:val="004170C4"/>
    <w:rsid w:val="00417273"/>
    <w:rsid w:val="004176FF"/>
    <w:rsid w:val="00420041"/>
    <w:rsid w:val="00421290"/>
    <w:rsid w:val="00421342"/>
    <w:rsid w:val="00422CEB"/>
    <w:rsid w:val="004232C1"/>
    <w:rsid w:val="00423850"/>
    <w:rsid w:val="00423BF1"/>
    <w:rsid w:val="00424FA7"/>
    <w:rsid w:val="004255A0"/>
    <w:rsid w:val="00425657"/>
    <w:rsid w:val="00425ACE"/>
    <w:rsid w:val="00425B06"/>
    <w:rsid w:val="00425FC7"/>
    <w:rsid w:val="0042658A"/>
    <w:rsid w:val="004270D1"/>
    <w:rsid w:val="004271E6"/>
    <w:rsid w:val="00427843"/>
    <w:rsid w:val="00427B57"/>
    <w:rsid w:val="00427BAF"/>
    <w:rsid w:val="00427CEB"/>
    <w:rsid w:val="00427D3A"/>
    <w:rsid w:val="00427D47"/>
    <w:rsid w:val="004304F0"/>
    <w:rsid w:val="00430566"/>
    <w:rsid w:val="00430A97"/>
    <w:rsid w:val="00430A9D"/>
    <w:rsid w:val="00432110"/>
    <w:rsid w:val="004324BC"/>
    <w:rsid w:val="00432638"/>
    <w:rsid w:val="00432BA6"/>
    <w:rsid w:val="00432ECA"/>
    <w:rsid w:val="004339D9"/>
    <w:rsid w:val="00433BE7"/>
    <w:rsid w:val="00433EBB"/>
    <w:rsid w:val="0043475F"/>
    <w:rsid w:val="00434E55"/>
    <w:rsid w:val="0043506E"/>
    <w:rsid w:val="004354F1"/>
    <w:rsid w:val="00435596"/>
    <w:rsid w:val="0043568A"/>
    <w:rsid w:val="0043571B"/>
    <w:rsid w:val="00435E87"/>
    <w:rsid w:val="00437A67"/>
    <w:rsid w:val="00437B9C"/>
    <w:rsid w:val="00437FA6"/>
    <w:rsid w:val="00440467"/>
    <w:rsid w:val="00440604"/>
    <w:rsid w:val="00440650"/>
    <w:rsid w:val="0044177D"/>
    <w:rsid w:val="0044270F"/>
    <w:rsid w:val="00442A8E"/>
    <w:rsid w:val="00442ADE"/>
    <w:rsid w:val="00442C2A"/>
    <w:rsid w:val="00443602"/>
    <w:rsid w:val="00443C7A"/>
    <w:rsid w:val="00444139"/>
    <w:rsid w:val="0044418A"/>
    <w:rsid w:val="00444322"/>
    <w:rsid w:val="004445DA"/>
    <w:rsid w:val="004446B4"/>
    <w:rsid w:val="00444AB4"/>
    <w:rsid w:val="004450C3"/>
    <w:rsid w:val="004452AC"/>
    <w:rsid w:val="004453DF"/>
    <w:rsid w:val="00445601"/>
    <w:rsid w:val="00445CA4"/>
    <w:rsid w:val="00445FF7"/>
    <w:rsid w:val="0044673F"/>
    <w:rsid w:val="004468D3"/>
    <w:rsid w:val="00446A4F"/>
    <w:rsid w:val="00446F13"/>
    <w:rsid w:val="00447184"/>
    <w:rsid w:val="00450B8B"/>
    <w:rsid w:val="00450DFC"/>
    <w:rsid w:val="00452619"/>
    <w:rsid w:val="004527B8"/>
    <w:rsid w:val="00452CAD"/>
    <w:rsid w:val="00453341"/>
    <w:rsid w:val="0045355E"/>
    <w:rsid w:val="004546B4"/>
    <w:rsid w:val="00454BE7"/>
    <w:rsid w:val="00455BFA"/>
    <w:rsid w:val="00455D8B"/>
    <w:rsid w:val="00455D9D"/>
    <w:rsid w:val="00455DC7"/>
    <w:rsid w:val="00455DDC"/>
    <w:rsid w:val="004567B7"/>
    <w:rsid w:val="004567E2"/>
    <w:rsid w:val="004570F6"/>
    <w:rsid w:val="004571CE"/>
    <w:rsid w:val="0045783E"/>
    <w:rsid w:val="00457DC8"/>
    <w:rsid w:val="00460099"/>
    <w:rsid w:val="004600EB"/>
    <w:rsid w:val="0046046F"/>
    <w:rsid w:val="004604B0"/>
    <w:rsid w:val="004604DD"/>
    <w:rsid w:val="0046085F"/>
    <w:rsid w:val="00460D41"/>
    <w:rsid w:val="00461210"/>
    <w:rsid w:val="00461696"/>
    <w:rsid w:val="004623B7"/>
    <w:rsid w:val="00463036"/>
    <w:rsid w:val="004632F2"/>
    <w:rsid w:val="00464B36"/>
    <w:rsid w:val="00464C8F"/>
    <w:rsid w:val="00464E02"/>
    <w:rsid w:val="00465CF8"/>
    <w:rsid w:val="004664E6"/>
    <w:rsid w:val="00466676"/>
    <w:rsid w:val="004667C9"/>
    <w:rsid w:val="00466F77"/>
    <w:rsid w:val="00467D8D"/>
    <w:rsid w:val="00467DDD"/>
    <w:rsid w:val="004701D9"/>
    <w:rsid w:val="004702B9"/>
    <w:rsid w:val="0047088D"/>
    <w:rsid w:val="004708FE"/>
    <w:rsid w:val="0047123A"/>
    <w:rsid w:val="004712F4"/>
    <w:rsid w:val="004715A3"/>
    <w:rsid w:val="004715C9"/>
    <w:rsid w:val="0047211C"/>
    <w:rsid w:val="004724FE"/>
    <w:rsid w:val="00473008"/>
    <w:rsid w:val="004731BE"/>
    <w:rsid w:val="004732F9"/>
    <w:rsid w:val="00473912"/>
    <w:rsid w:val="00473924"/>
    <w:rsid w:val="004753B3"/>
    <w:rsid w:val="004755CA"/>
    <w:rsid w:val="00475D37"/>
    <w:rsid w:val="00476991"/>
    <w:rsid w:val="00476A7B"/>
    <w:rsid w:val="00476B1B"/>
    <w:rsid w:val="004772E9"/>
    <w:rsid w:val="004800AA"/>
    <w:rsid w:val="00480B80"/>
    <w:rsid w:val="00480C41"/>
    <w:rsid w:val="0048144A"/>
    <w:rsid w:val="004815AB"/>
    <w:rsid w:val="00483261"/>
    <w:rsid w:val="00483701"/>
    <w:rsid w:val="00483B04"/>
    <w:rsid w:val="00484143"/>
    <w:rsid w:val="00484336"/>
    <w:rsid w:val="004845F8"/>
    <w:rsid w:val="004859B8"/>
    <w:rsid w:val="00486BFC"/>
    <w:rsid w:val="00486F2F"/>
    <w:rsid w:val="00487937"/>
    <w:rsid w:val="004879AA"/>
    <w:rsid w:val="00487D14"/>
    <w:rsid w:val="0049021E"/>
    <w:rsid w:val="00490634"/>
    <w:rsid w:val="00490A05"/>
    <w:rsid w:val="00490B88"/>
    <w:rsid w:val="00492080"/>
    <w:rsid w:val="00492AB1"/>
    <w:rsid w:val="00492D61"/>
    <w:rsid w:val="00492D6F"/>
    <w:rsid w:val="00493425"/>
    <w:rsid w:val="0049368D"/>
    <w:rsid w:val="00493771"/>
    <w:rsid w:val="004939B2"/>
    <w:rsid w:val="004942E6"/>
    <w:rsid w:val="004943FA"/>
    <w:rsid w:val="0049469C"/>
    <w:rsid w:val="004948FD"/>
    <w:rsid w:val="00495631"/>
    <w:rsid w:val="004958B6"/>
    <w:rsid w:val="004958D2"/>
    <w:rsid w:val="00496DB1"/>
    <w:rsid w:val="00496E41"/>
    <w:rsid w:val="004A01BA"/>
    <w:rsid w:val="004A0584"/>
    <w:rsid w:val="004A0A7C"/>
    <w:rsid w:val="004A0E2B"/>
    <w:rsid w:val="004A0F4A"/>
    <w:rsid w:val="004A1A55"/>
    <w:rsid w:val="004A26A8"/>
    <w:rsid w:val="004A2845"/>
    <w:rsid w:val="004A2A08"/>
    <w:rsid w:val="004A37BA"/>
    <w:rsid w:val="004A3810"/>
    <w:rsid w:val="004A4AC0"/>
    <w:rsid w:val="004A4F72"/>
    <w:rsid w:val="004A5122"/>
    <w:rsid w:val="004A58CC"/>
    <w:rsid w:val="004A5BD3"/>
    <w:rsid w:val="004A63B7"/>
    <w:rsid w:val="004A656A"/>
    <w:rsid w:val="004A6801"/>
    <w:rsid w:val="004A6EA7"/>
    <w:rsid w:val="004A720A"/>
    <w:rsid w:val="004A7241"/>
    <w:rsid w:val="004A7F04"/>
    <w:rsid w:val="004B07AE"/>
    <w:rsid w:val="004B07B8"/>
    <w:rsid w:val="004B091A"/>
    <w:rsid w:val="004B108B"/>
    <w:rsid w:val="004B17B6"/>
    <w:rsid w:val="004B1A8D"/>
    <w:rsid w:val="004B2E32"/>
    <w:rsid w:val="004B36D6"/>
    <w:rsid w:val="004B3ED2"/>
    <w:rsid w:val="004B3FF8"/>
    <w:rsid w:val="004B5C71"/>
    <w:rsid w:val="004B5E41"/>
    <w:rsid w:val="004B6EDF"/>
    <w:rsid w:val="004B71E9"/>
    <w:rsid w:val="004B74FF"/>
    <w:rsid w:val="004B75FD"/>
    <w:rsid w:val="004B7C5A"/>
    <w:rsid w:val="004C064A"/>
    <w:rsid w:val="004C076B"/>
    <w:rsid w:val="004C079A"/>
    <w:rsid w:val="004C0F44"/>
    <w:rsid w:val="004C1465"/>
    <w:rsid w:val="004C14D0"/>
    <w:rsid w:val="004C1D74"/>
    <w:rsid w:val="004C2818"/>
    <w:rsid w:val="004C3901"/>
    <w:rsid w:val="004C40E8"/>
    <w:rsid w:val="004C42A8"/>
    <w:rsid w:val="004C45AC"/>
    <w:rsid w:val="004C48AE"/>
    <w:rsid w:val="004C4CA8"/>
    <w:rsid w:val="004C50B8"/>
    <w:rsid w:val="004C591B"/>
    <w:rsid w:val="004C6389"/>
    <w:rsid w:val="004C6867"/>
    <w:rsid w:val="004C6956"/>
    <w:rsid w:val="004C795A"/>
    <w:rsid w:val="004D03D8"/>
    <w:rsid w:val="004D044A"/>
    <w:rsid w:val="004D1A4C"/>
    <w:rsid w:val="004D1EFC"/>
    <w:rsid w:val="004D23CF"/>
    <w:rsid w:val="004D2717"/>
    <w:rsid w:val="004D29C0"/>
    <w:rsid w:val="004D30AE"/>
    <w:rsid w:val="004D35BA"/>
    <w:rsid w:val="004D3B8D"/>
    <w:rsid w:val="004D3FA6"/>
    <w:rsid w:val="004D4212"/>
    <w:rsid w:val="004D42BE"/>
    <w:rsid w:val="004D4614"/>
    <w:rsid w:val="004D505B"/>
    <w:rsid w:val="004D53EF"/>
    <w:rsid w:val="004D5567"/>
    <w:rsid w:val="004D588A"/>
    <w:rsid w:val="004D5D00"/>
    <w:rsid w:val="004D5F81"/>
    <w:rsid w:val="004D6264"/>
    <w:rsid w:val="004D6AF7"/>
    <w:rsid w:val="004D6C51"/>
    <w:rsid w:val="004D72B5"/>
    <w:rsid w:val="004D7DCC"/>
    <w:rsid w:val="004D7E05"/>
    <w:rsid w:val="004E04DB"/>
    <w:rsid w:val="004E07BB"/>
    <w:rsid w:val="004E0F2A"/>
    <w:rsid w:val="004E1230"/>
    <w:rsid w:val="004E1715"/>
    <w:rsid w:val="004E1C2C"/>
    <w:rsid w:val="004E1D09"/>
    <w:rsid w:val="004E2638"/>
    <w:rsid w:val="004E2AC9"/>
    <w:rsid w:val="004E2B93"/>
    <w:rsid w:val="004E3303"/>
    <w:rsid w:val="004E368F"/>
    <w:rsid w:val="004E3735"/>
    <w:rsid w:val="004E3E34"/>
    <w:rsid w:val="004E4232"/>
    <w:rsid w:val="004E4524"/>
    <w:rsid w:val="004E4862"/>
    <w:rsid w:val="004E4D06"/>
    <w:rsid w:val="004E546B"/>
    <w:rsid w:val="004E59CC"/>
    <w:rsid w:val="004E6002"/>
    <w:rsid w:val="004E6938"/>
    <w:rsid w:val="004E7CDD"/>
    <w:rsid w:val="004F037F"/>
    <w:rsid w:val="004F0DB4"/>
    <w:rsid w:val="004F208C"/>
    <w:rsid w:val="004F29B3"/>
    <w:rsid w:val="004F3449"/>
    <w:rsid w:val="004F3FF3"/>
    <w:rsid w:val="004F4089"/>
    <w:rsid w:val="004F481A"/>
    <w:rsid w:val="004F4C86"/>
    <w:rsid w:val="004F53B8"/>
    <w:rsid w:val="004F5835"/>
    <w:rsid w:val="004F6350"/>
    <w:rsid w:val="004F64EC"/>
    <w:rsid w:val="004F69A6"/>
    <w:rsid w:val="004F6B7E"/>
    <w:rsid w:val="004F7046"/>
    <w:rsid w:val="004F7477"/>
    <w:rsid w:val="004F79D0"/>
    <w:rsid w:val="004F7AB0"/>
    <w:rsid w:val="004F7E2E"/>
    <w:rsid w:val="00500464"/>
    <w:rsid w:val="0050149D"/>
    <w:rsid w:val="00501D05"/>
    <w:rsid w:val="00501DA7"/>
    <w:rsid w:val="0050253A"/>
    <w:rsid w:val="0050277D"/>
    <w:rsid w:val="005032CB"/>
    <w:rsid w:val="00503BB1"/>
    <w:rsid w:val="00503CD8"/>
    <w:rsid w:val="00503E17"/>
    <w:rsid w:val="00503EDB"/>
    <w:rsid w:val="0050400A"/>
    <w:rsid w:val="00504240"/>
    <w:rsid w:val="005048AB"/>
    <w:rsid w:val="005052D8"/>
    <w:rsid w:val="00505670"/>
    <w:rsid w:val="00505675"/>
    <w:rsid w:val="005056BD"/>
    <w:rsid w:val="00505E95"/>
    <w:rsid w:val="00506436"/>
    <w:rsid w:val="00506E9B"/>
    <w:rsid w:val="00506F2D"/>
    <w:rsid w:val="00507849"/>
    <w:rsid w:val="0050785E"/>
    <w:rsid w:val="00507918"/>
    <w:rsid w:val="00507C53"/>
    <w:rsid w:val="00507CA2"/>
    <w:rsid w:val="00510B69"/>
    <w:rsid w:val="00510F17"/>
    <w:rsid w:val="00511079"/>
    <w:rsid w:val="0051133A"/>
    <w:rsid w:val="00511EB3"/>
    <w:rsid w:val="0051219D"/>
    <w:rsid w:val="005124A4"/>
    <w:rsid w:val="005132A8"/>
    <w:rsid w:val="0051349C"/>
    <w:rsid w:val="00513719"/>
    <w:rsid w:val="00513E64"/>
    <w:rsid w:val="00513EBE"/>
    <w:rsid w:val="00513EF9"/>
    <w:rsid w:val="0051423C"/>
    <w:rsid w:val="0051438F"/>
    <w:rsid w:val="00514650"/>
    <w:rsid w:val="00514B37"/>
    <w:rsid w:val="00514C79"/>
    <w:rsid w:val="00514FD0"/>
    <w:rsid w:val="005160A0"/>
    <w:rsid w:val="005163EA"/>
    <w:rsid w:val="00516739"/>
    <w:rsid w:val="00516CD7"/>
    <w:rsid w:val="00516ED5"/>
    <w:rsid w:val="00516FD9"/>
    <w:rsid w:val="005173E5"/>
    <w:rsid w:val="00517548"/>
    <w:rsid w:val="00517AED"/>
    <w:rsid w:val="005206FA"/>
    <w:rsid w:val="00520E12"/>
    <w:rsid w:val="00521A79"/>
    <w:rsid w:val="00521FE7"/>
    <w:rsid w:val="00522281"/>
    <w:rsid w:val="00523434"/>
    <w:rsid w:val="005236E5"/>
    <w:rsid w:val="00523F0C"/>
    <w:rsid w:val="0052439E"/>
    <w:rsid w:val="0052487A"/>
    <w:rsid w:val="005249FC"/>
    <w:rsid w:val="005250DC"/>
    <w:rsid w:val="00525542"/>
    <w:rsid w:val="00526881"/>
    <w:rsid w:val="0052782C"/>
    <w:rsid w:val="00527A24"/>
    <w:rsid w:val="00527B01"/>
    <w:rsid w:val="0053065D"/>
    <w:rsid w:val="00530688"/>
    <w:rsid w:val="00530A0E"/>
    <w:rsid w:val="00531091"/>
    <w:rsid w:val="005311A7"/>
    <w:rsid w:val="005318D3"/>
    <w:rsid w:val="00531FF5"/>
    <w:rsid w:val="00532780"/>
    <w:rsid w:val="005327CF"/>
    <w:rsid w:val="00532B5D"/>
    <w:rsid w:val="00533AC2"/>
    <w:rsid w:val="0053417E"/>
    <w:rsid w:val="005342D7"/>
    <w:rsid w:val="0053485E"/>
    <w:rsid w:val="00534E4C"/>
    <w:rsid w:val="0053541F"/>
    <w:rsid w:val="00535467"/>
    <w:rsid w:val="00535E21"/>
    <w:rsid w:val="00536672"/>
    <w:rsid w:val="00536C51"/>
    <w:rsid w:val="00536D20"/>
    <w:rsid w:val="00536E21"/>
    <w:rsid w:val="005372B5"/>
    <w:rsid w:val="005372C0"/>
    <w:rsid w:val="00537437"/>
    <w:rsid w:val="0053758A"/>
    <w:rsid w:val="00537CBB"/>
    <w:rsid w:val="00540A6F"/>
    <w:rsid w:val="00540B1A"/>
    <w:rsid w:val="005418FC"/>
    <w:rsid w:val="00541B9B"/>
    <w:rsid w:val="00541E7A"/>
    <w:rsid w:val="00541FD4"/>
    <w:rsid w:val="005420AA"/>
    <w:rsid w:val="005424D2"/>
    <w:rsid w:val="005428F3"/>
    <w:rsid w:val="00542C3C"/>
    <w:rsid w:val="00542E74"/>
    <w:rsid w:val="005431FA"/>
    <w:rsid w:val="00543C5D"/>
    <w:rsid w:val="005441B7"/>
    <w:rsid w:val="005454DC"/>
    <w:rsid w:val="005460E1"/>
    <w:rsid w:val="0054668B"/>
    <w:rsid w:val="00546F27"/>
    <w:rsid w:val="00547392"/>
    <w:rsid w:val="0054770F"/>
    <w:rsid w:val="00547846"/>
    <w:rsid w:val="0054796F"/>
    <w:rsid w:val="005479AA"/>
    <w:rsid w:val="00550184"/>
    <w:rsid w:val="00550778"/>
    <w:rsid w:val="005520EF"/>
    <w:rsid w:val="0055223B"/>
    <w:rsid w:val="00552581"/>
    <w:rsid w:val="0055330D"/>
    <w:rsid w:val="005536F6"/>
    <w:rsid w:val="00553BD6"/>
    <w:rsid w:val="00553C27"/>
    <w:rsid w:val="00553F8A"/>
    <w:rsid w:val="00554479"/>
    <w:rsid w:val="0055449D"/>
    <w:rsid w:val="00554E08"/>
    <w:rsid w:val="005554FF"/>
    <w:rsid w:val="00555C78"/>
    <w:rsid w:val="0055625E"/>
    <w:rsid w:val="005568F2"/>
    <w:rsid w:val="00556A4A"/>
    <w:rsid w:val="0055798B"/>
    <w:rsid w:val="0056039D"/>
    <w:rsid w:val="005603B3"/>
    <w:rsid w:val="005603F1"/>
    <w:rsid w:val="00560F9E"/>
    <w:rsid w:val="00561270"/>
    <w:rsid w:val="00562153"/>
    <w:rsid w:val="00562EFA"/>
    <w:rsid w:val="00563338"/>
    <w:rsid w:val="00565EDF"/>
    <w:rsid w:val="005660DB"/>
    <w:rsid w:val="00566F1E"/>
    <w:rsid w:val="00567E23"/>
    <w:rsid w:val="00570682"/>
    <w:rsid w:val="00570967"/>
    <w:rsid w:val="00570B8D"/>
    <w:rsid w:val="0057125F"/>
    <w:rsid w:val="005717AE"/>
    <w:rsid w:val="00571F13"/>
    <w:rsid w:val="00572105"/>
    <w:rsid w:val="00572539"/>
    <w:rsid w:val="005728DB"/>
    <w:rsid w:val="00572A66"/>
    <w:rsid w:val="00573181"/>
    <w:rsid w:val="00573342"/>
    <w:rsid w:val="00573965"/>
    <w:rsid w:val="00573AE1"/>
    <w:rsid w:val="00574A4A"/>
    <w:rsid w:val="00574ADC"/>
    <w:rsid w:val="00575D25"/>
    <w:rsid w:val="00575D3B"/>
    <w:rsid w:val="00576313"/>
    <w:rsid w:val="005770F7"/>
    <w:rsid w:val="00577372"/>
    <w:rsid w:val="0057759D"/>
    <w:rsid w:val="005777BA"/>
    <w:rsid w:val="00577C07"/>
    <w:rsid w:val="00577ED2"/>
    <w:rsid w:val="005800E0"/>
    <w:rsid w:val="00580536"/>
    <w:rsid w:val="00580B64"/>
    <w:rsid w:val="00580BAE"/>
    <w:rsid w:val="00580BD9"/>
    <w:rsid w:val="00582290"/>
    <w:rsid w:val="005822FB"/>
    <w:rsid w:val="00582B0C"/>
    <w:rsid w:val="00582B88"/>
    <w:rsid w:val="00583094"/>
    <w:rsid w:val="0058319C"/>
    <w:rsid w:val="0058331C"/>
    <w:rsid w:val="005833D1"/>
    <w:rsid w:val="00583AC1"/>
    <w:rsid w:val="00583B2E"/>
    <w:rsid w:val="005844A1"/>
    <w:rsid w:val="00584902"/>
    <w:rsid w:val="00584E51"/>
    <w:rsid w:val="005852A4"/>
    <w:rsid w:val="00585869"/>
    <w:rsid w:val="005858A6"/>
    <w:rsid w:val="00590990"/>
    <w:rsid w:val="0059196B"/>
    <w:rsid w:val="00592244"/>
    <w:rsid w:val="00592393"/>
    <w:rsid w:val="00592877"/>
    <w:rsid w:val="00594731"/>
    <w:rsid w:val="00594732"/>
    <w:rsid w:val="00594823"/>
    <w:rsid w:val="00594B6C"/>
    <w:rsid w:val="005959FB"/>
    <w:rsid w:val="00596464"/>
    <w:rsid w:val="00596929"/>
    <w:rsid w:val="0059694C"/>
    <w:rsid w:val="00596A67"/>
    <w:rsid w:val="00596C9D"/>
    <w:rsid w:val="005977CC"/>
    <w:rsid w:val="005A0683"/>
    <w:rsid w:val="005A1195"/>
    <w:rsid w:val="005A11E9"/>
    <w:rsid w:val="005A138C"/>
    <w:rsid w:val="005A1D91"/>
    <w:rsid w:val="005A21A8"/>
    <w:rsid w:val="005A2325"/>
    <w:rsid w:val="005A24DE"/>
    <w:rsid w:val="005A255B"/>
    <w:rsid w:val="005A25C7"/>
    <w:rsid w:val="005A27F4"/>
    <w:rsid w:val="005A3099"/>
    <w:rsid w:val="005A30D6"/>
    <w:rsid w:val="005A3B7E"/>
    <w:rsid w:val="005A3C33"/>
    <w:rsid w:val="005A4CAE"/>
    <w:rsid w:val="005A4DB8"/>
    <w:rsid w:val="005A54CA"/>
    <w:rsid w:val="005A63F8"/>
    <w:rsid w:val="005A65BB"/>
    <w:rsid w:val="005A662D"/>
    <w:rsid w:val="005A75A4"/>
    <w:rsid w:val="005A75BF"/>
    <w:rsid w:val="005A7BA5"/>
    <w:rsid w:val="005A7D00"/>
    <w:rsid w:val="005A7EB1"/>
    <w:rsid w:val="005B0E6C"/>
    <w:rsid w:val="005B0F4D"/>
    <w:rsid w:val="005B146A"/>
    <w:rsid w:val="005B16B7"/>
    <w:rsid w:val="005B1FAA"/>
    <w:rsid w:val="005B212E"/>
    <w:rsid w:val="005B2177"/>
    <w:rsid w:val="005B21C9"/>
    <w:rsid w:val="005B2641"/>
    <w:rsid w:val="005B2A66"/>
    <w:rsid w:val="005B2BA2"/>
    <w:rsid w:val="005B30A4"/>
    <w:rsid w:val="005B3184"/>
    <w:rsid w:val="005B37D5"/>
    <w:rsid w:val="005B38A0"/>
    <w:rsid w:val="005B4CE1"/>
    <w:rsid w:val="005B4EA8"/>
    <w:rsid w:val="005B52F7"/>
    <w:rsid w:val="005B565D"/>
    <w:rsid w:val="005B5B64"/>
    <w:rsid w:val="005B7E2C"/>
    <w:rsid w:val="005B7EBF"/>
    <w:rsid w:val="005C058D"/>
    <w:rsid w:val="005C09DD"/>
    <w:rsid w:val="005C0C54"/>
    <w:rsid w:val="005C0FF1"/>
    <w:rsid w:val="005C1E7B"/>
    <w:rsid w:val="005C2ECB"/>
    <w:rsid w:val="005C3E04"/>
    <w:rsid w:val="005C40BE"/>
    <w:rsid w:val="005C494A"/>
    <w:rsid w:val="005C5284"/>
    <w:rsid w:val="005C570C"/>
    <w:rsid w:val="005C5A64"/>
    <w:rsid w:val="005C5A96"/>
    <w:rsid w:val="005C5ED7"/>
    <w:rsid w:val="005C6198"/>
    <w:rsid w:val="005C740E"/>
    <w:rsid w:val="005C748C"/>
    <w:rsid w:val="005C7D44"/>
    <w:rsid w:val="005D0100"/>
    <w:rsid w:val="005D0702"/>
    <w:rsid w:val="005D10BA"/>
    <w:rsid w:val="005D1114"/>
    <w:rsid w:val="005D1DEE"/>
    <w:rsid w:val="005D24F9"/>
    <w:rsid w:val="005D2567"/>
    <w:rsid w:val="005D3053"/>
    <w:rsid w:val="005D353F"/>
    <w:rsid w:val="005D36FD"/>
    <w:rsid w:val="005D3B3E"/>
    <w:rsid w:val="005D3C02"/>
    <w:rsid w:val="005D47E4"/>
    <w:rsid w:val="005D48F6"/>
    <w:rsid w:val="005D5941"/>
    <w:rsid w:val="005D5B21"/>
    <w:rsid w:val="005D64B0"/>
    <w:rsid w:val="005D6AE3"/>
    <w:rsid w:val="005D7436"/>
    <w:rsid w:val="005E05D2"/>
    <w:rsid w:val="005E0E72"/>
    <w:rsid w:val="005E1016"/>
    <w:rsid w:val="005E11E4"/>
    <w:rsid w:val="005E151C"/>
    <w:rsid w:val="005E1D8E"/>
    <w:rsid w:val="005E1DDA"/>
    <w:rsid w:val="005E1F57"/>
    <w:rsid w:val="005E23DD"/>
    <w:rsid w:val="005E2914"/>
    <w:rsid w:val="005E3728"/>
    <w:rsid w:val="005E3842"/>
    <w:rsid w:val="005E3B41"/>
    <w:rsid w:val="005E4A1C"/>
    <w:rsid w:val="005E672F"/>
    <w:rsid w:val="005E677F"/>
    <w:rsid w:val="005E73FB"/>
    <w:rsid w:val="005E7CB4"/>
    <w:rsid w:val="005F008C"/>
    <w:rsid w:val="005F00DF"/>
    <w:rsid w:val="005F0524"/>
    <w:rsid w:val="005F087E"/>
    <w:rsid w:val="005F097F"/>
    <w:rsid w:val="005F09CC"/>
    <w:rsid w:val="005F1915"/>
    <w:rsid w:val="005F1999"/>
    <w:rsid w:val="005F1D72"/>
    <w:rsid w:val="005F1E81"/>
    <w:rsid w:val="005F26F8"/>
    <w:rsid w:val="005F352F"/>
    <w:rsid w:val="005F3BA1"/>
    <w:rsid w:val="005F4D88"/>
    <w:rsid w:val="005F6048"/>
    <w:rsid w:val="005F6A38"/>
    <w:rsid w:val="005F6AF6"/>
    <w:rsid w:val="005F7562"/>
    <w:rsid w:val="005F75C4"/>
    <w:rsid w:val="005F7900"/>
    <w:rsid w:val="005F7C5A"/>
    <w:rsid w:val="00600311"/>
    <w:rsid w:val="006004FE"/>
    <w:rsid w:val="0060092C"/>
    <w:rsid w:val="00600B3D"/>
    <w:rsid w:val="006015DA"/>
    <w:rsid w:val="00601914"/>
    <w:rsid w:val="00601ECB"/>
    <w:rsid w:val="00603167"/>
    <w:rsid w:val="0060375B"/>
    <w:rsid w:val="00603ACF"/>
    <w:rsid w:val="00603EC4"/>
    <w:rsid w:val="00603F8E"/>
    <w:rsid w:val="0060415C"/>
    <w:rsid w:val="0060454C"/>
    <w:rsid w:val="006049F9"/>
    <w:rsid w:val="006050D0"/>
    <w:rsid w:val="00605481"/>
    <w:rsid w:val="006055B5"/>
    <w:rsid w:val="00605BB4"/>
    <w:rsid w:val="00605DEC"/>
    <w:rsid w:val="00606585"/>
    <w:rsid w:val="00606AE3"/>
    <w:rsid w:val="00606D2A"/>
    <w:rsid w:val="006076D5"/>
    <w:rsid w:val="00607707"/>
    <w:rsid w:val="0060780E"/>
    <w:rsid w:val="006116C4"/>
    <w:rsid w:val="00611C44"/>
    <w:rsid w:val="00611F2C"/>
    <w:rsid w:val="006132CD"/>
    <w:rsid w:val="006139E3"/>
    <w:rsid w:val="0061477D"/>
    <w:rsid w:val="00614856"/>
    <w:rsid w:val="00614ADB"/>
    <w:rsid w:val="00614CD1"/>
    <w:rsid w:val="00614E8D"/>
    <w:rsid w:val="00616260"/>
    <w:rsid w:val="006162C0"/>
    <w:rsid w:val="006166AE"/>
    <w:rsid w:val="00616CED"/>
    <w:rsid w:val="00616DC3"/>
    <w:rsid w:val="00617C40"/>
    <w:rsid w:val="00617CA7"/>
    <w:rsid w:val="00617E64"/>
    <w:rsid w:val="00617F8F"/>
    <w:rsid w:val="00620133"/>
    <w:rsid w:val="00620D6A"/>
    <w:rsid w:val="006211F2"/>
    <w:rsid w:val="00621324"/>
    <w:rsid w:val="00621AE6"/>
    <w:rsid w:val="00621EFF"/>
    <w:rsid w:val="0062286A"/>
    <w:rsid w:val="00622FF1"/>
    <w:rsid w:val="00624A51"/>
    <w:rsid w:val="00624A5F"/>
    <w:rsid w:val="00626065"/>
    <w:rsid w:val="00626082"/>
    <w:rsid w:val="006260BA"/>
    <w:rsid w:val="006266A4"/>
    <w:rsid w:val="00626BC9"/>
    <w:rsid w:val="00626FEA"/>
    <w:rsid w:val="00627240"/>
    <w:rsid w:val="00627DA2"/>
    <w:rsid w:val="00630123"/>
    <w:rsid w:val="0063015D"/>
    <w:rsid w:val="006305C0"/>
    <w:rsid w:val="006309BC"/>
    <w:rsid w:val="00630E63"/>
    <w:rsid w:val="00630E67"/>
    <w:rsid w:val="0063111E"/>
    <w:rsid w:val="006314B6"/>
    <w:rsid w:val="0063176B"/>
    <w:rsid w:val="006319C1"/>
    <w:rsid w:val="00631C79"/>
    <w:rsid w:val="00631F4C"/>
    <w:rsid w:val="00632741"/>
    <w:rsid w:val="0063299C"/>
    <w:rsid w:val="00632D2E"/>
    <w:rsid w:val="00632D38"/>
    <w:rsid w:val="0063349C"/>
    <w:rsid w:val="00633580"/>
    <w:rsid w:val="00633D7A"/>
    <w:rsid w:val="00633F5B"/>
    <w:rsid w:val="006345C3"/>
    <w:rsid w:val="0063474A"/>
    <w:rsid w:val="00634C42"/>
    <w:rsid w:val="00634FCF"/>
    <w:rsid w:val="006351AA"/>
    <w:rsid w:val="00635685"/>
    <w:rsid w:val="0063639F"/>
    <w:rsid w:val="00636563"/>
    <w:rsid w:val="00636652"/>
    <w:rsid w:val="00636BF7"/>
    <w:rsid w:val="00636D5B"/>
    <w:rsid w:val="00636FE1"/>
    <w:rsid w:val="00637592"/>
    <w:rsid w:val="00637B73"/>
    <w:rsid w:val="00637E50"/>
    <w:rsid w:val="006401AA"/>
    <w:rsid w:val="00640A28"/>
    <w:rsid w:val="0064206B"/>
    <w:rsid w:val="006424C3"/>
    <w:rsid w:val="006428A6"/>
    <w:rsid w:val="00642B20"/>
    <w:rsid w:val="00642E9E"/>
    <w:rsid w:val="0064339F"/>
    <w:rsid w:val="006434F2"/>
    <w:rsid w:val="006436F3"/>
    <w:rsid w:val="006437D0"/>
    <w:rsid w:val="0064380B"/>
    <w:rsid w:val="00643F29"/>
    <w:rsid w:val="00644278"/>
    <w:rsid w:val="00644462"/>
    <w:rsid w:val="00644625"/>
    <w:rsid w:val="0064487F"/>
    <w:rsid w:val="00644A3C"/>
    <w:rsid w:val="0064549A"/>
    <w:rsid w:val="00645913"/>
    <w:rsid w:val="00646037"/>
    <w:rsid w:val="00646C13"/>
    <w:rsid w:val="006473E6"/>
    <w:rsid w:val="00647992"/>
    <w:rsid w:val="00650597"/>
    <w:rsid w:val="0065065D"/>
    <w:rsid w:val="006509E6"/>
    <w:rsid w:val="0065197A"/>
    <w:rsid w:val="006524CF"/>
    <w:rsid w:val="00652500"/>
    <w:rsid w:val="0065272E"/>
    <w:rsid w:val="00652D73"/>
    <w:rsid w:val="00652EE7"/>
    <w:rsid w:val="006536C8"/>
    <w:rsid w:val="00653A60"/>
    <w:rsid w:val="006540E5"/>
    <w:rsid w:val="00654137"/>
    <w:rsid w:val="006542E4"/>
    <w:rsid w:val="0065480E"/>
    <w:rsid w:val="00654FD2"/>
    <w:rsid w:val="00655925"/>
    <w:rsid w:val="00655BA9"/>
    <w:rsid w:val="00655BE0"/>
    <w:rsid w:val="0065637E"/>
    <w:rsid w:val="0065746D"/>
    <w:rsid w:val="006574B9"/>
    <w:rsid w:val="006578CE"/>
    <w:rsid w:val="00657BD9"/>
    <w:rsid w:val="00661469"/>
    <w:rsid w:val="00661659"/>
    <w:rsid w:val="00661FA9"/>
    <w:rsid w:val="00662092"/>
    <w:rsid w:val="0066209E"/>
    <w:rsid w:val="006625C1"/>
    <w:rsid w:val="006627F7"/>
    <w:rsid w:val="00662A41"/>
    <w:rsid w:val="00662C69"/>
    <w:rsid w:val="006632E7"/>
    <w:rsid w:val="006637F0"/>
    <w:rsid w:val="006639C0"/>
    <w:rsid w:val="006648AD"/>
    <w:rsid w:val="006648C1"/>
    <w:rsid w:val="00664DAB"/>
    <w:rsid w:val="00664DD1"/>
    <w:rsid w:val="006657A4"/>
    <w:rsid w:val="0066655C"/>
    <w:rsid w:val="0066659D"/>
    <w:rsid w:val="006668EF"/>
    <w:rsid w:val="006675BA"/>
    <w:rsid w:val="006702EB"/>
    <w:rsid w:val="00670C72"/>
    <w:rsid w:val="00670D72"/>
    <w:rsid w:val="006710D7"/>
    <w:rsid w:val="00671D03"/>
    <w:rsid w:val="00672748"/>
    <w:rsid w:val="00672CF4"/>
    <w:rsid w:val="006736DF"/>
    <w:rsid w:val="00673E4F"/>
    <w:rsid w:val="006743C6"/>
    <w:rsid w:val="0067450A"/>
    <w:rsid w:val="006747A8"/>
    <w:rsid w:val="00674959"/>
    <w:rsid w:val="00674D88"/>
    <w:rsid w:val="00674F44"/>
    <w:rsid w:val="00675D57"/>
    <w:rsid w:val="006768BD"/>
    <w:rsid w:val="00676BF6"/>
    <w:rsid w:val="00676CC9"/>
    <w:rsid w:val="006771ED"/>
    <w:rsid w:val="00677925"/>
    <w:rsid w:val="00681437"/>
    <w:rsid w:val="00681C67"/>
    <w:rsid w:val="00681E96"/>
    <w:rsid w:val="006828EC"/>
    <w:rsid w:val="00683F98"/>
    <w:rsid w:val="00684C0A"/>
    <w:rsid w:val="00684C87"/>
    <w:rsid w:val="0068559B"/>
    <w:rsid w:val="0068559E"/>
    <w:rsid w:val="0068573E"/>
    <w:rsid w:val="00685A63"/>
    <w:rsid w:val="006864AF"/>
    <w:rsid w:val="006876A8"/>
    <w:rsid w:val="006878E2"/>
    <w:rsid w:val="00687BE3"/>
    <w:rsid w:val="00687DDC"/>
    <w:rsid w:val="006901AC"/>
    <w:rsid w:val="0069021E"/>
    <w:rsid w:val="0069101B"/>
    <w:rsid w:val="00691094"/>
    <w:rsid w:val="006912A1"/>
    <w:rsid w:val="00691831"/>
    <w:rsid w:val="00691CB4"/>
    <w:rsid w:val="0069228B"/>
    <w:rsid w:val="006927B7"/>
    <w:rsid w:val="00692DBA"/>
    <w:rsid w:val="006933CE"/>
    <w:rsid w:val="00693E7D"/>
    <w:rsid w:val="00693EC2"/>
    <w:rsid w:val="00693FA4"/>
    <w:rsid w:val="006959D2"/>
    <w:rsid w:val="00696159"/>
    <w:rsid w:val="00696FC4"/>
    <w:rsid w:val="006971A8"/>
    <w:rsid w:val="00697470"/>
    <w:rsid w:val="006A10EC"/>
    <w:rsid w:val="006A11FB"/>
    <w:rsid w:val="006A151B"/>
    <w:rsid w:val="006A1560"/>
    <w:rsid w:val="006A1D97"/>
    <w:rsid w:val="006A1D9A"/>
    <w:rsid w:val="006A212F"/>
    <w:rsid w:val="006A2305"/>
    <w:rsid w:val="006A2698"/>
    <w:rsid w:val="006A2B35"/>
    <w:rsid w:val="006A35C7"/>
    <w:rsid w:val="006A37EF"/>
    <w:rsid w:val="006A3EB1"/>
    <w:rsid w:val="006A3ECE"/>
    <w:rsid w:val="006A49F9"/>
    <w:rsid w:val="006A5123"/>
    <w:rsid w:val="006A5658"/>
    <w:rsid w:val="006A6420"/>
    <w:rsid w:val="006A653A"/>
    <w:rsid w:val="006A657A"/>
    <w:rsid w:val="006A669D"/>
    <w:rsid w:val="006A72E6"/>
    <w:rsid w:val="006A733C"/>
    <w:rsid w:val="006A73E7"/>
    <w:rsid w:val="006A75B9"/>
    <w:rsid w:val="006A7A1B"/>
    <w:rsid w:val="006A7FDB"/>
    <w:rsid w:val="006B0095"/>
    <w:rsid w:val="006B01D5"/>
    <w:rsid w:val="006B0634"/>
    <w:rsid w:val="006B08BE"/>
    <w:rsid w:val="006B0A6A"/>
    <w:rsid w:val="006B108B"/>
    <w:rsid w:val="006B1407"/>
    <w:rsid w:val="006B1654"/>
    <w:rsid w:val="006B1B01"/>
    <w:rsid w:val="006B2AC8"/>
    <w:rsid w:val="006B2EDC"/>
    <w:rsid w:val="006B37AA"/>
    <w:rsid w:val="006B4156"/>
    <w:rsid w:val="006B5392"/>
    <w:rsid w:val="006B558E"/>
    <w:rsid w:val="006B569F"/>
    <w:rsid w:val="006B589D"/>
    <w:rsid w:val="006B6260"/>
    <w:rsid w:val="006B6751"/>
    <w:rsid w:val="006B71DD"/>
    <w:rsid w:val="006B7311"/>
    <w:rsid w:val="006C0BFB"/>
    <w:rsid w:val="006C1499"/>
    <w:rsid w:val="006C16ED"/>
    <w:rsid w:val="006C181A"/>
    <w:rsid w:val="006C1EBB"/>
    <w:rsid w:val="006C3587"/>
    <w:rsid w:val="006C4A5D"/>
    <w:rsid w:val="006C4E65"/>
    <w:rsid w:val="006C5E8E"/>
    <w:rsid w:val="006C5F76"/>
    <w:rsid w:val="006C63AF"/>
    <w:rsid w:val="006C6644"/>
    <w:rsid w:val="006C7536"/>
    <w:rsid w:val="006C75B5"/>
    <w:rsid w:val="006C787D"/>
    <w:rsid w:val="006C7A0C"/>
    <w:rsid w:val="006C7A45"/>
    <w:rsid w:val="006D0241"/>
    <w:rsid w:val="006D0339"/>
    <w:rsid w:val="006D04F1"/>
    <w:rsid w:val="006D09C4"/>
    <w:rsid w:val="006D1139"/>
    <w:rsid w:val="006D2176"/>
    <w:rsid w:val="006D270C"/>
    <w:rsid w:val="006D2748"/>
    <w:rsid w:val="006D2AE8"/>
    <w:rsid w:val="006D2C7E"/>
    <w:rsid w:val="006D3A5B"/>
    <w:rsid w:val="006D3A8C"/>
    <w:rsid w:val="006D436E"/>
    <w:rsid w:val="006D447C"/>
    <w:rsid w:val="006D5632"/>
    <w:rsid w:val="006D5A18"/>
    <w:rsid w:val="006D5A70"/>
    <w:rsid w:val="006D5AAD"/>
    <w:rsid w:val="006D64C5"/>
    <w:rsid w:val="006D6612"/>
    <w:rsid w:val="006D6A81"/>
    <w:rsid w:val="006D6F5D"/>
    <w:rsid w:val="006D7389"/>
    <w:rsid w:val="006D7640"/>
    <w:rsid w:val="006D78C2"/>
    <w:rsid w:val="006E00B2"/>
    <w:rsid w:val="006E13D1"/>
    <w:rsid w:val="006E193D"/>
    <w:rsid w:val="006E1952"/>
    <w:rsid w:val="006E19B6"/>
    <w:rsid w:val="006E1A9C"/>
    <w:rsid w:val="006E1C77"/>
    <w:rsid w:val="006E1DC0"/>
    <w:rsid w:val="006E2252"/>
    <w:rsid w:val="006E225A"/>
    <w:rsid w:val="006E2622"/>
    <w:rsid w:val="006E27F6"/>
    <w:rsid w:val="006E3084"/>
    <w:rsid w:val="006E47BF"/>
    <w:rsid w:val="006E4C51"/>
    <w:rsid w:val="006E545F"/>
    <w:rsid w:val="006E5A34"/>
    <w:rsid w:val="006E5DA3"/>
    <w:rsid w:val="006E5F9A"/>
    <w:rsid w:val="006E6140"/>
    <w:rsid w:val="006E6643"/>
    <w:rsid w:val="006E6994"/>
    <w:rsid w:val="006E6BA3"/>
    <w:rsid w:val="006E6E17"/>
    <w:rsid w:val="006E6F5D"/>
    <w:rsid w:val="006E6F9A"/>
    <w:rsid w:val="006E7089"/>
    <w:rsid w:val="006E725C"/>
    <w:rsid w:val="006F0076"/>
    <w:rsid w:val="006F03CF"/>
    <w:rsid w:val="006F08D5"/>
    <w:rsid w:val="006F09A7"/>
    <w:rsid w:val="006F0BCE"/>
    <w:rsid w:val="006F0D84"/>
    <w:rsid w:val="006F167C"/>
    <w:rsid w:val="006F194B"/>
    <w:rsid w:val="006F1D68"/>
    <w:rsid w:val="006F1F85"/>
    <w:rsid w:val="006F2042"/>
    <w:rsid w:val="006F24A8"/>
    <w:rsid w:val="006F2A32"/>
    <w:rsid w:val="006F332C"/>
    <w:rsid w:val="006F5E29"/>
    <w:rsid w:val="006F5F5A"/>
    <w:rsid w:val="006F63D2"/>
    <w:rsid w:val="006F6434"/>
    <w:rsid w:val="006F656C"/>
    <w:rsid w:val="006F679B"/>
    <w:rsid w:val="006F76A7"/>
    <w:rsid w:val="0070048C"/>
    <w:rsid w:val="00701423"/>
    <w:rsid w:val="007019E0"/>
    <w:rsid w:val="00701CBF"/>
    <w:rsid w:val="00701D7B"/>
    <w:rsid w:val="00701FBB"/>
    <w:rsid w:val="00701FFC"/>
    <w:rsid w:val="007020CE"/>
    <w:rsid w:val="00702348"/>
    <w:rsid w:val="00702B5E"/>
    <w:rsid w:val="00702D8A"/>
    <w:rsid w:val="00702F2E"/>
    <w:rsid w:val="00703672"/>
    <w:rsid w:val="00703723"/>
    <w:rsid w:val="00703802"/>
    <w:rsid w:val="00704B8A"/>
    <w:rsid w:val="007050F7"/>
    <w:rsid w:val="007051AD"/>
    <w:rsid w:val="0070636C"/>
    <w:rsid w:val="0070648C"/>
    <w:rsid w:val="00706A7E"/>
    <w:rsid w:val="0070709B"/>
    <w:rsid w:val="007071D7"/>
    <w:rsid w:val="007072FE"/>
    <w:rsid w:val="00707818"/>
    <w:rsid w:val="00707C67"/>
    <w:rsid w:val="00707DD6"/>
    <w:rsid w:val="00710034"/>
    <w:rsid w:val="007101B3"/>
    <w:rsid w:val="0071024F"/>
    <w:rsid w:val="00710938"/>
    <w:rsid w:val="00710E3C"/>
    <w:rsid w:val="00710FA3"/>
    <w:rsid w:val="00710FDC"/>
    <w:rsid w:val="007113C5"/>
    <w:rsid w:val="00711AF0"/>
    <w:rsid w:val="00711D53"/>
    <w:rsid w:val="00711E13"/>
    <w:rsid w:val="007120AD"/>
    <w:rsid w:val="00712EDA"/>
    <w:rsid w:val="00712F67"/>
    <w:rsid w:val="007133E5"/>
    <w:rsid w:val="0071347C"/>
    <w:rsid w:val="00713B0B"/>
    <w:rsid w:val="00713B15"/>
    <w:rsid w:val="00714245"/>
    <w:rsid w:val="0071483F"/>
    <w:rsid w:val="00715875"/>
    <w:rsid w:val="00715C5D"/>
    <w:rsid w:val="00716045"/>
    <w:rsid w:val="0071627F"/>
    <w:rsid w:val="0071705B"/>
    <w:rsid w:val="00717247"/>
    <w:rsid w:val="00717334"/>
    <w:rsid w:val="0071790D"/>
    <w:rsid w:val="00717FD1"/>
    <w:rsid w:val="0072057A"/>
    <w:rsid w:val="007214EE"/>
    <w:rsid w:val="0072170E"/>
    <w:rsid w:val="007218A2"/>
    <w:rsid w:val="00721C5B"/>
    <w:rsid w:val="00722276"/>
    <w:rsid w:val="00722EAD"/>
    <w:rsid w:val="0072327F"/>
    <w:rsid w:val="00723B3A"/>
    <w:rsid w:val="0072442F"/>
    <w:rsid w:val="00724A69"/>
    <w:rsid w:val="00724C4E"/>
    <w:rsid w:val="007250B5"/>
    <w:rsid w:val="007253FE"/>
    <w:rsid w:val="007254A8"/>
    <w:rsid w:val="00726214"/>
    <w:rsid w:val="00726344"/>
    <w:rsid w:val="00726CA9"/>
    <w:rsid w:val="007279E0"/>
    <w:rsid w:val="00727C6D"/>
    <w:rsid w:val="00727E1F"/>
    <w:rsid w:val="007300B7"/>
    <w:rsid w:val="007302FB"/>
    <w:rsid w:val="00730C1A"/>
    <w:rsid w:val="00731ECB"/>
    <w:rsid w:val="00731F0A"/>
    <w:rsid w:val="00731F3E"/>
    <w:rsid w:val="00733392"/>
    <w:rsid w:val="007335DC"/>
    <w:rsid w:val="00733E2A"/>
    <w:rsid w:val="007348B9"/>
    <w:rsid w:val="00734952"/>
    <w:rsid w:val="0073516F"/>
    <w:rsid w:val="007366FE"/>
    <w:rsid w:val="00736B14"/>
    <w:rsid w:val="00736BF5"/>
    <w:rsid w:val="0073782A"/>
    <w:rsid w:val="00737EBC"/>
    <w:rsid w:val="00740A5E"/>
    <w:rsid w:val="00740E78"/>
    <w:rsid w:val="007410AA"/>
    <w:rsid w:val="00741D42"/>
    <w:rsid w:val="00743084"/>
    <w:rsid w:val="00743836"/>
    <w:rsid w:val="00743E06"/>
    <w:rsid w:val="0074433B"/>
    <w:rsid w:val="00744ADC"/>
    <w:rsid w:val="00745540"/>
    <w:rsid w:val="00745B41"/>
    <w:rsid w:val="00745DC1"/>
    <w:rsid w:val="007463DC"/>
    <w:rsid w:val="007464F8"/>
    <w:rsid w:val="007469CD"/>
    <w:rsid w:val="007477D3"/>
    <w:rsid w:val="00747907"/>
    <w:rsid w:val="00747948"/>
    <w:rsid w:val="007503CC"/>
    <w:rsid w:val="00750C82"/>
    <w:rsid w:val="00751180"/>
    <w:rsid w:val="0075140F"/>
    <w:rsid w:val="007518A1"/>
    <w:rsid w:val="007535AD"/>
    <w:rsid w:val="007543B6"/>
    <w:rsid w:val="00754AA3"/>
    <w:rsid w:val="00754F17"/>
    <w:rsid w:val="007551F5"/>
    <w:rsid w:val="00755424"/>
    <w:rsid w:val="00755481"/>
    <w:rsid w:val="007557E8"/>
    <w:rsid w:val="00755CFA"/>
    <w:rsid w:val="00755FC2"/>
    <w:rsid w:val="00756026"/>
    <w:rsid w:val="007562D9"/>
    <w:rsid w:val="007564AA"/>
    <w:rsid w:val="00756515"/>
    <w:rsid w:val="00756832"/>
    <w:rsid w:val="0075689B"/>
    <w:rsid w:val="00756BD5"/>
    <w:rsid w:val="00756CFC"/>
    <w:rsid w:val="00756DB3"/>
    <w:rsid w:val="00757379"/>
    <w:rsid w:val="00757BAB"/>
    <w:rsid w:val="00760236"/>
    <w:rsid w:val="00760836"/>
    <w:rsid w:val="00760CE0"/>
    <w:rsid w:val="00760F40"/>
    <w:rsid w:val="00761069"/>
    <w:rsid w:val="007613C0"/>
    <w:rsid w:val="0076160A"/>
    <w:rsid w:val="007618C9"/>
    <w:rsid w:val="0076243F"/>
    <w:rsid w:val="007626C7"/>
    <w:rsid w:val="00762BD5"/>
    <w:rsid w:val="00762F13"/>
    <w:rsid w:val="0076342B"/>
    <w:rsid w:val="00763783"/>
    <w:rsid w:val="0076408F"/>
    <w:rsid w:val="00764A14"/>
    <w:rsid w:val="00764DD1"/>
    <w:rsid w:val="00765C79"/>
    <w:rsid w:val="00765D49"/>
    <w:rsid w:val="00766139"/>
    <w:rsid w:val="00766F39"/>
    <w:rsid w:val="0076732A"/>
    <w:rsid w:val="00767491"/>
    <w:rsid w:val="00767F66"/>
    <w:rsid w:val="00770872"/>
    <w:rsid w:val="00770959"/>
    <w:rsid w:val="007709D1"/>
    <w:rsid w:val="00770F5C"/>
    <w:rsid w:val="00771F4C"/>
    <w:rsid w:val="0077214D"/>
    <w:rsid w:val="007723DE"/>
    <w:rsid w:val="00772A0A"/>
    <w:rsid w:val="00772CA2"/>
    <w:rsid w:val="00772D32"/>
    <w:rsid w:val="00772D6B"/>
    <w:rsid w:val="00773769"/>
    <w:rsid w:val="00773A9E"/>
    <w:rsid w:val="007742FA"/>
    <w:rsid w:val="007743CE"/>
    <w:rsid w:val="007749BC"/>
    <w:rsid w:val="0077548E"/>
    <w:rsid w:val="00775586"/>
    <w:rsid w:val="0077609E"/>
    <w:rsid w:val="00776258"/>
    <w:rsid w:val="0077651C"/>
    <w:rsid w:val="00776B40"/>
    <w:rsid w:val="00776B45"/>
    <w:rsid w:val="00776C61"/>
    <w:rsid w:val="00777C3F"/>
    <w:rsid w:val="00777D3D"/>
    <w:rsid w:val="007802AA"/>
    <w:rsid w:val="00780385"/>
    <w:rsid w:val="00780640"/>
    <w:rsid w:val="007808BA"/>
    <w:rsid w:val="00780965"/>
    <w:rsid w:val="00782BB6"/>
    <w:rsid w:val="007830A6"/>
    <w:rsid w:val="0078347E"/>
    <w:rsid w:val="007837DB"/>
    <w:rsid w:val="007837E7"/>
    <w:rsid w:val="00783A91"/>
    <w:rsid w:val="00783D86"/>
    <w:rsid w:val="0078457B"/>
    <w:rsid w:val="00784C01"/>
    <w:rsid w:val="00785057"/>
    <w:rsid w:val="00785305"/>
    <w:rsid w:val="00785AAF"/>
    <w:rsid w:val="00785BAD"/>
    <w:rsid w:val="00785F46"/>
    <w:rsid w:val="00786083"/>
    <w:rsid w:val="00786364"/>
    <w:rsid w:val="00786788"/>
    <w:rsid w:val="00786CB4"/>
    <w:rsid w:val="00787051"/>
    <w:rsid w:val="007875A3"/>
    <w:rsid w:val="00787AFD"/>
    <w:rsid w:val="007905E9"/>
    <w:rsid w:val="00790843"/>
    <w:rsid w:val="00790A9D"/>
    <w:rsid w:val="00791453"/>
    <w:rsid w:val="007916DB"/>
    <w:rsid w:val="007917A9"/>
    <w:rsid w:val="00791E5F"/>
    <w:rsid w:val="00792A9D"/>
    <w:rsid w:val="00792BF7"/>
    <w:rsid w:val="007931B4"/>
    <w:rsid w:val="0079356D"/>
    <w:rsid w:val="007936CB"/>
    <w:rsid w:val="00793F52"/>
    <w:rsid w:val="00793FB4"/>
    <w:rsid w:val="00794895"/>
    <w:rsid w:val="00794CFC"/>
    <w:rsid w:val="00794E32"/>
    <w:rsid w:val="007956E6"/>
    <w:rsid w:val="00795D3D"/>
    <w:rsid w:val="00796C73"/>
    <w:rsid w:val="00796ECB"/>
    <w:rsid w:val="00797189"/>
    <w:rsid w:val="00797540"/>
    <w:rsid w:val="0079786E"/>
    <w:rsid w:val="00797B90"/>
    <w:rsid w:val="007A0A67"/>
    <w:rsid w:val="007A109E"/>
    <w:rsid w:val="007A1D4F"/>
    <w:rsid w:val="007A201F"/>
    <w:rsid w:val="007A2301"/>
    <w:rsid w:val="007A2881"/>
    <w:rsid w:val="007A2F07"/>
    <w:rsid w:val="007A2FB8"/>
    <w:rsid w:val="007A34FB"/>
    <w:rsid w:val="007A35CA"/>
    <w:rsid w:val="007A364A"/>
    <w:rsid w:val="007A3BD5"/>
    <w:rsid w:val="007A3F56"/>
    <w:rsid w:val="007A40FA"/>
    <w:rsid w:val="007A42E4"/>
    <w:rsid w:val="007A4461"/>
    <w:rsid w:val="007A51BF"/>
    <w:rsid w:val="007A5434"/>
    <w:rsid w:val="007A6384"/>
    <w:rsid w:val="007A6902"/>
    <w:rsid w:val="007A6A70"/>
    <w:rsid w:val="007A6AC8"/>
    <w:rsid w:val="007A6EF2"/>
    <w:rsid w:val="007A7A40"/>
    <w:rsid w:val="007B0089"/>
    <w:rsid w:val="007B06D2"/>
    <w:rsid w:val="007B22EC"/>
    <w:rsid w:val="007B24B9"/>
    <w:rsid w:val="007B263D"/>
    <w:rsid w:val="007B2708"/>
    <w:rsid w:val="007B33E8"/>
    <w:rsid w:val="007B3471"/>
    <w:rsid w:val="007B36B7"/>
    <w:rsid w:val="007B3EDA"/>
    <w:rsid w:val="007B3F4B"/>
    <w:rsid w:val="007B4901"/>
    <w:rsid w:val="007B56CF"/>
    <w:rsid w:val="007B5D19"/>
    <w:rsid w:val="007B5EBB"/>
    <w:rsid w:val="007B5F58"/>
    <w:rsid w:val="007B5FC6"/>
    <w:rsid w:val="007B626E"/>
    <w:rsid w:val="007B6473"/>
    <w:rsid w:val="007B66B4"/>
    <w:rsid w:val="007B6FBE"/>
    <w:rsid w:val="007B70A6"/>
    <w:rsid w:val="007B72B9"/>
    <w:rsid w:val="007B748E"/>
    <w:rsid w:val="007B7496"/>
    <w:rsid w:val="007B78AA"/>
    <w:rsid w:val="007B7F1D"/>
    <w:rsid w:val="007C0EC6"/>
    <w:rsid w:val="007C1555"/>
    <w:rsid w:val="007C2739"/>
    <w:rsid w:val="007C2E69"/>
    <w:rsid w:val="007C3162"/>
    <w:rsid w:val="007C319B"/>
    <w:rsid w:val="007C330B"/>
    <w:rsid w:val="007C3550"/>
    <w:rsid w:val="007C37F1"/>
    <w:rsid w:val="007C39DC"/>
    <w:rsid w:val="007C421B"/>
    <w:rsid w:val="007C52EA"/>
    <w:rsid w:val="007C5BCE"/>
    <w:rsid w:val="007C5CCC"/>
    <w:rsid w:val="007C5D26"/>
    <w:rsid w:val="007C5D56"/>
    <w:rsid w:val="007C5DB8"/>
    <w:rsid w:val="007C6C92"/>
    <w:rsid w:val="007C7020"/>
    <w:rsid w:val="007D01CE"/>
    <w:rsid w:val="007D0C44"/>
    <w:rsid w:val="007D0D0F"/>
    <w:rsid w:val="007D1F1F"/>
    <w:rsid w:val="007D20AB"/>
    <w:rsid w:val="007D21F1"/>
    <w:rsid w:val="007D2AA0"/>
    <w:rsid w:val="007D3605"/>
    <w:rsid w:val="007D3B6C"/>
    <w:rsid w:val="007D4152"/>
    <w:rsid w:val="007D4CEC"/>
    <w:rsid w:val="007D4DB8"/>
    <w:rsid w:val="007D548D"/>
    <w:rsid w:val="007D59E5"/>
    <w:rsid w:val="007D5A00"/>
    <w:rsid w:val="007D5A32"/>
    <w:rsid w:val="007D5C25"/>
    <w:rsid w:val="007D5D3E"/>
    <w:rsid w:val="007D5D49"/>
    <w:rsid w:val="007D5E9E"/>
    <w:rsid w:val="007D69CD"/>
    <w:rsid w:val="007D6B7A"/>
    <w:rsid w:val="007D711D"/>
    <w:rsid w:val="007D72D7"/>
    <w:rsid w:val="007D7864"/>
    <w:rsid w:val="007D7ABB"/>
    <w:rsid w:val="007D7DC1"/>
    <w:rsid w:val="007E08CF"/>
    <w:rsid w:val="007E149C"/>
    <w:rsid w:val="007E14BF"/>
    <w:rsid w:val="007E1BE0"/>
    <w:rsid w:val="007E2AA0"/>
    <w:rsid w:val="007E2E58"/>
    <w:rsid w:val="007E2EC6"/>
    <w:rsid w:val="007E378E"/>
    <w:rsid w:val="007E4528"/>
    <w:rsid w:val="007E4586"/>
    <w:rsid w:val="007E49AB"/>
    <w:rsid w:val="007E49E4"/>
    <w:rsid w:val="007E4F3F"/>
    <w:rsid w:val="007E5401"/>
    <w:rsid w:val="007E57A5"/>
    <w:rsid w:val="007E5A20"/>
    <w:rsid w:val="007E5CFD"/>
    <w:rsid w:val="007E6002"/>
    <w:rsid w:val="007E6497"/>
    <w:rsid w:val="007E6BAC"/>
    <w:rsid w:val="007E778D"/>
    <w:rsid w:val="007E7D21"/>
    <w:rsid w:val="007F0715"/>
    <w:rsid w:val="007F08FD"/>
    <w:rsid w:val="007F1727"/>
    <w:rsid w:val="007F1C13"/>
    <w:rsid w:val="007F1CC4"/>
    <w:rsid w:val="007F1DF6"/>
    <w:rsid w:val="007F2BF5"/>
    <w:rsid w:val="007F2F55"/>
    <w:rsid w:val="007F30E4"/>
    <w:rsid w:val="007F34A0"/>
    <w:rsid w:val="007F3D80"/>
    <w:rsid w:val="007F4077"/>
    <w:rsid w:val="007F4237"/>
    <w:rsid w:val="007F4EA5"/>
    <w:rsid w:val="007F543E"/>
    <w:rsid w:val="007F5844"/>
    <w:rsid w:val="007F6E69"/>
    <w:rsid w:val="007F6FA9"/>
    <w:rsid w:val="007F722D"/>
    <w:rsid w:val="007F77A2"/>
    <w:rsid w:val="007F7852"/>
    <w:rsid w:val="007F7C61"/>
    <w:rsid w:val="007F7C71"/>
    <w:rsid w:val="008003F2"/>
    <w:rsid w:val="00800901"/>
    <w:rsid w:val="0080153E"/>
    <w:rsid w:val="00802240"/>
    <w:rsid w:val="00803329"/>
    <w:rsid w:val="00803657"/>
    <w:rsid w:val="00803F5F"/>
    <w:rsid w:val="008045CB"/>
    <w:rsid w:val="00804657"/>
    <w:rsid w:val="008058C7"/>
    <w:rsid w:val="00805E21"/>
    <w:rsid w:val="008069FB"/>
    <w:rsid w:val="00806D0A"/>
    <w:rsid w:val="00807767"/>
    <w:rsid w:val="008078BB"/>
    <w:rsid w:val="008101C4"/>
    <w:rsid w:val="00810367"/>
    <w:rsid w:val="008109C9"/>
    <w:rsid w:val="00810FAD"/>
    <w:rsid w:val="00811111"/>
    <w:rsid w:val="008116D4"/>
    <w:rsid w:val="008116F7"/>
    <w:rsid w:val="00811884"/>
    <w:rsid w:val="008118B5"/>
    <w:rsid w:val="00811A75"/>
    <w:rsid w:val="0081265E"/>
    <w:rsid w:val="00813093"/>
    <w:rsid w:val="008136DD"/>
    <w:rsid w:val="00813868"/>
    <w:rsid w:val="008148C4"/>
    <w:rsid w:val="008149BD"/>
    <w:rsid w:val="00814A98"/>
    <w:rsid w:val="00815B7D"/>
    <w:rsid w:val="008160CD"/>
    <w:rsid w:val="00816939"/>
    <w:rsid w:val="00817621"/>
    <w:rsid w:val="00817998"/>
    <w:rsid w:val="00817D51"/>
    <w:rsid w:val="00817D78"/>
    <w:rsid w:val="00817EEC"/>
    <w:rsid w:val="00817F48"/>
    <w:rsid w:val="008204DD"/>
    <w:rsid w:val="00821316"/>
    <w:rsid w:val="00821698"/>
    <w:rsid w:val="00821776"/>
    <w:rsid w:val="0082189A"/>
    <w:rsid w:val="00821900"/>
    <w:rsid w:val="0082195F"/>
    <w:rsid w:val="00821A4D"/>
    <w:rsid w:val="00821C7F"/>
    <w:rsid w:val="00821F18"/>
    <w:rsid w:val="0082220C"/>
    <w:rsid w:val="008225A5"/>
    <w:rsid w:val="00822CB1"/>
    <w:rsid w:val="00822FCB"/>
    <w:rsid w:val="00823109"/>
    <w:rsid w:val="00823661"/>
    <w:rsid w:val="00823A31"/>
    <w:rsid w:val="00824098"/>
    <w:rsid w:val="008244F2"/>
    <w:rsid w:val="008245A6"/>
    <w:rsid w:val="00824BFD"/>
    <w:rsid w:val="00824C66"/>
    <w:rsid w:val="00824D9C"/>
    <w:rsid w:val="00825128"/>
    <w:rsid w:val="00825364"/>
    <w:rsid w:val="00825BAE"/>
    <w:rsid w:val="00825C56"/>
    <w:rsid w:val="00825D81"/>
    <w:rsid w:val="00825E8C"/>
    <w:rsid w:val="00825F3E"/>
    <w:rsid w:val="00825FE2"/>
    <w:rsid w:val="00826416"/>
    <w:rsid w:val="00826700"/>
    <w:rsid w:val="008269D9"/>
    <w:rsid w:val="00826BF4"/>
    <w:rsid w:val="00826DD9"/>
    <w:rsid w:val="00826F20"/>
    <w:rsid w:val="0082726A"/>
    <w:rsid w:val="0082742B"/>
    <w:rsid w:val="008276AA"/>
    <w:rsid w:val="0082778C"/>
    <w:rsid w:val="008278B6"/>
    <w:rsid w:val="008303B3"/>
    <w:rsid w:val="00830405"/>
    <w:rsid w:val="008309A3"/>
    <w:rsid w:val="008315F8"/>
    <w:rsid w:val="0083161A"/>
    <w:rsid w:val="0083199F"/>
    <w:rsid w:val="00833125"/>
    <w:rsid w:val="00833607"/>
    <w:rsid w:val="00833D7A"/>
    <w:rsid w:val="00833E2F"/>
    <w:rsid w:val="0083436B"/>
    <w:rsid w:val="008344EC"/>
    <w:rsid w:val="008345D9"/>
    <w:rsid w:val="00834728"/>
    <w:rsid w:val="0083495A"/>
    <w:rsid w:val="00834AE3"/>
    <w:rsid w:val="00834BC4"/>
    <w:rsid w:val="0083536C"/>
    <w:rsid w:val="008358CE"/>
    <w:rsid w:val="008365A5"/>
    <w:rsid w:val="008368FF"/>
    <w:rsid w:val="00836ABB"/>
    <w:rsid w:val="00836B87"/>
    <w:rsid w:val="00836F58"/>
    <w:rsid w:val="00836FEB"/>
    <w:rsid w:val="00837011"/>
    <w:rsid w:val="00837109"/>
    <w:rsid w:val="0083729D"/>
    <w:rsid w:val="0084007D"/>
    <w:rsid w:val="008420F0"/>
    <w:rsid w:val="00842573"/>
    <w:rsid w:val="00842ADF"/>
    <w:rsid w:val="00842AEF"/>
    <w:rsid w:val="00842F10"/>
    <w:rsid w:val="0084322F"/>
    <w:rsid w:val="008437D1"/>
    <w:rsid w:val="00843934"/>
    <w:rsid w:val="008452B9"/>
    <w:rsid w:val="00845363"/>
    <w:rsid w:val="00845FC3"/>
    <w:rsid w:val="0084637D"/>
    <w:rsid w:val="00846F28"/>
    <w:rsid w:val="008470EF"/>
    <w:rsid w:val="008472B0"/>
    <w:rsid w:val="00847957"/>
    <w:rsid w:val="00847C25"/>
    <w:rsid w:val="00850715"/>
    <w:rsid w:val="00850CE8"/>
    <w:rsid w:val="00850E65"/>
    <w:rsid w:val="00851078"/>
    <w:rsid w:val="00851DA8"/>
    <w:rsid w:val="00852137"/>
    <w:rsid w:val="008524F0"/>
    <w:rsid w:val="008531CD"/>
    <w:rsid w:val="00853840"/>
    <w:rsid w:val="008543D9"/>
    <w:rsid w:val="00854D89"/>
    <w:rsid w:val="00854FB5"/>
    <w:rsid w:val="0085515F"/>
    <w:rsid w:val="0085530E"/>
    <w:rsid w:val="00856096"/>
    <w:rsid w:val="008566B4"/>
    <w:rsid w:val="0085682F"/>
    <w:rsid w:val="00856A3F"/>
    <w:rsid w:val="0085768C"/>
    <w:rsid w:val="00857751"/>
    <w:rsid w:val="008578A7"/>
    <w:rsid w:val="008603F8"/>
    <w:rsid w:val="00860B57"/>
    <w:rsid w:val="00861515"/>
    <w:rsid w:val="0086281E"/>
    <w:rsid w:val="008628AF"/>
    <w:rsid w:val="00863361"/>
    <w:rsid w:val="00863A46"/>
    <w:rsid w:val="00864533"/>
    <w:rsid w:val="0086485B"/>
    <w:rsid w:val="008653C2"/>
    <w:rsid w:val="0086592B"/>
    <w:rsid w:val="00865BE6"/>
    <w:rsid w:val="00865D8A"/>
    <w:rsid w:val="00865F15"/>
    <w:rsid w:val="00866101"/>
    <w:rsid w:val="00866447"/>
    <w:rsid w:val="0086656A"/>
    <w:rsid w:val="00866604"/>
    <w:rsid w:val="00866744"/>
    <w:rsid w:val="008668AF"/>
    <w:rsid w:val="0086727B"/>
    <w:rsid w:val="00867D86"/>
    <w:rsid w:val="0087021E"/>
    <w:rsid w:val="00870726"/>
    <w:rsid w:val="00870D7D"/>
    <w:rsid w:val="00871199"/>
    <w:rsid w:val="008713C0"/>
    <w:rsid w:val="00871C84"/>
    <w:rsid w:val="00872104"/>
    <w:rsid w:val="00872731"/>
    <w:rsid w:val="00872A76"/>
    <w:rsid w:val="00873A43"/>
    <w:rsid w:val="008741B4"/>
    <w:rsid w:val="0087429B"/>
    <w:rsid w:val="008743F3"/>
    <w:rsid w:val="0087444A"/>
    <w:rsid w:val="0087455D"/>
    <w:rsid w:val="00874A86"/>
    <w:rsid w:val="00875069"/>
    <w:rsid w:val="00875139"/>
    <w:rsid w:val="008751D8"/>
    <w:rsid w:val="00875410"/>
    <w:rsid w:val="008762DE"/>
    <w:rsid w:val="008762E9"/>
    <w:rsid w:val="008765D3"/>
    <w:rsid w:val="00876CEC"/>
    <w:rsid w:val="00876F93"/>
    <w:rsid w:val="008777D6"/>
    <w:rsid w:val="0088015C"/>
    <w:rsid w:val="008802E9"/>
    <w:rsid w:val="008804AB"/>
    <w:rsid w:val="008804FD"/>
    <w:rsid w:val="00880B0F"/>
    <w:rsid w:val="00880B78"/>
    <w:rsid w:val="00880F1E"/>
    <w:rsid w:val="008815D1"/>
    <w:rsid w:val="00882419"/>
    <w:rsid w:val="00882EC6"/>
    <w:rsid w:val="008832B6"/>
    <w:rsid w:val="00884951"/>
    <w:rsid w:val="00884A01"/>
    <w:rsid w:val="00884B89"/>
    <w:rsid w:val="00884BA9"/>
    <w:rsid w:val="0088525C"/>
    <w:rsid w:val="00885787"/>
    <w:rsid w:val="008876FE"/>
    <w:rsid w:val="00887DB4"/>
    <w:rsid w:val="008916D3"/>
    <w:rsid w:val="00892615"/>
    <w:rsid w:val="00892AE8"/>
    <w:rsid w:val="00892E60"/>
    <w:rsid w:val="008938F2"/>
    <w:rsid w:val="00894C2D"/>
    <w:rsid w:val="00894DC8"/>
    <w:rsid w:val="00895528"/>
    <w:rsid w:val="0089568A"/>
    <w:rsid w:val="00895973"/>
    <w:rsid w:val="008967BE"/>
    <w:rsid w:val="00897E06"/>
    <w:rsid w:val="00897FBD"/>
    <w:rsid w:val="008A019B"/>
    <w:rsid w:val="008A01D9"/>
    <w:rsid w:val="008A02CB"/>
    <w:rsid w:val="008A119D"/>
    <w:rsid w:val="008A1A9E"/>
    <w:rsid w:val="008A1EAC"/>
    <w:rsid w:val="008A2043"/>
    <w:rsid w:val="008A22E9"/>
    <w:rsid w:val="008A259E"/>
    <w:rsid w:val="008A265E"/>
    <w:rsid w:val="008A2FC1"/>
    <w:rsid w:val="008A3115"/>
    <w:rsid w:val="008A3907"/>
    <w:rsid w:val="008A3A5A"/>
    <w:rsid w:val="008A3FF1"/>
    <w:rsid w:val="008A4465"/>
    <w:rsid w:val="008A448B"/>
    <w:rsid w:val="008A4DAB"/>
    <w:rsid w:val="008A54D2"/>
    <w:rsid w:val="008A555B"/>
    <w:rsid w:val="008A5943"/>
    <w:rsid w:val="008A6ECA"/>
    <w:rsid w:val="008A7465"/>
    <w:rsid w:val="008A7930"/>
    <w:rsid w:val="008A7B28"/>
    <w:rsid w:val="008A7EBA"/>
    <w:rsid w:val="008B042F"/>
    <w:rsid w:val="008B0A66"/>
    <w:rsid w:val="008B0DF8"/>
    <w:rsid w:val="008B21F3"/>
    <w:rsid w:val="008B2555"/>
    <w:rsid w:val="008B2864"/>
    <w:rsid w:val="008B2C9B"/>
    <w:rsid w:val="008B45E7"/>
    <w:rsid w:val="008B471E"/>
    <w:rsid w:val="008B5010"/>
    <w:rsid w:val="008B5290"/>
    <w:rsid w:val="008B5676"/>
    <w:rsid w:val="008B57EE"/>
    <w:rsid w:val="008B5A1A"/>
    <w:rsid w:val="008B5AB1"/>
    <w:rsid w:val="008B5BE6"/>
    <w:rsid w:val="008B6FEB"/>
    <w:rsid w:val="008B7350"/>
    <w:rsid w:val="008B76D7"/>
    <w:rsid w:val="008B7B31"/>
    <w:rsid w:val="008B7F9E"/>
    <w:rsid w:val="008C057B"/>
    <w:rsid w:val="008C0BFA"/>
    <w:rsid w:val="008C1196"/>
    <w:rsid w:val="008C1777"/>
    <w:rsid w:val="008C178D"/>
    <w:rsid w:val="008C22E1"/>
    <w:rsid w:val="008C2613"/>
    <w:rsid w:val="008C3BEB"/>
    <w:rsid w:val="008C440D"/>
    <w:rsid w:val="008C47F1"/>
    <w:rsid w:val="008C5DF9"/>
    <w:rsid w:val="008C5E85"/>
    <w:rsid w:val="008C635B"/>
    <w:rsid w:val="008D0783"/>
    <w:rsid w:val="008D0D56"/>
    <w:rsid w:val="008D1599"/>
    <w:rsid w:val="008D163C"/>
    <w:rsid w:val="008D3150"/>
    <w:rsid w:val="008D339E"/>
    <w:rsid w:val="008D38B9"/>
    <w:rsid w:val="008D39F4"/>
    <w:rsid w:val="008D4468"/>
    <w:rsid w:val="008D4565"/>
    <w:rsid w:val="008D4C41"/>
    <w:rsid w:val="008D4C9E"/>
    <w:rsid w:val="008D4F02"/>
    <w:rsid w:val="008D6040"/>
    <w:rsid w:val="008D64FA"/>
    <w:rsid w:val="008D6822"/>
    <w:rsid w:val="008D69F8"/>
    <w:rsid w:val="008D6AB6"/>
    <w:rsid w:val="008D6CAD"/>
    <w:rsid w:val="008D7899"/>
    <w:rsid w:val="008D78DD"/>
    <w:rsid w:val="008E0121"/>
    <w:rsid w:val="008E041E"/>
    <w:rsid w:val="008E0623"/>
    <w:rsid w:val="008E07A9"/>
    <w:rsid w:val="008E0F52"/>
    <w:rsid w:val="008E135B"/>
    <w:rsid w:val="008E13FF"/>
    <w:rsid w:val="008E20F9"/>
    <w:rsid w:val="008E29CA"/>
    <w:rsid w:val="008E2B80"/>
    <w:rsid w:val="008E2DB4"/>
    <w:rsid w:val="008E2E32"/>
    <w:rsid w:val="008E2EA7"/>
    <w:rsid w:val="008E3085"/>
    <w:rsid w:val="008E3F14"/>
    <w:rsid w:val="008E44B5"/>
    <w:rsid w:val="008E49DD"/>
    <w:rsid w:val="008E509E"/>
    <w:rsid w:val="008E5E3E"/>
    <w:rsid w:val="008E5EAF"/>
    <w:rsid w:val="008E6042"/>
    <w:rsid w:val="008E687C"/>
    <w:rsid w:val="008E68DE"/>
    <w:rsid w:val="008E6B9E"/>
    <w:rsid w:val="008E6EF9"/>
    <w:rsid w:val="008E7481"/>
    <w:rsid w:val="008E7761"/>
    <w:rsid w:val="008E7D85"/>
    <w:rsid w:val="008E7D8B"/>
    <w:rsid w:val="008F0075"/>
    <w:rsid w:val="008F0095"/>
    <w:rsid w:val="008F0666"/>
    <w:rsid w:val="008F0807"/>
    <w:rsid w:val="008F08E5"/>
    <w:rsid w:val="008F0C67"/>
    <w:rsid w:val="008F1746"/>
    <w:rsid w:val="008F1E01"/>
    <w:rsid w:val="008F24B8"/>
    <w:rsid w:val="008F2A28"/>
    <w:rsid w:val="008F2B28"/>
    <w:rsid w:val="008F3000"/>
    <w:rsid w:val="008F30D7"/>
    <w:rsid w:val="008F377D"/>
    <w:rsid w:val="008F3F4E"/>
    <w:rsid w:val="008F4419"/>
    <w:rsid w:val="008F4454"/>
    <w:rsid w:val="008F455E"/>
    <w:rsid w:val="008F4606"/>
    <w:rsid w:val="008F4FED"/>
    <w:rsid w:val="008F529C"/>
    <w:rsid w:val="008F537A"/>
    <w:rsid w:val="008F5467"/>
    <w:rsid w:val="008F5807"/>
    <w:rsid w:val="008F5920"/>
    <w:rsid w:val="008F5DAF"/>
    <w:rsid w:val="008F6E6A"/>
    <w:rsid w:val="008F7E08"/>
    <w:rsid w:val="009006C0"/>
    <w:rsid w:val="00900897"/>
    <w:rsid w:val="0090096D"/>
    <w:rsid w:val="009012C2"/>
    <w:rsid w:val="0090135E"/>
    <w:rsid w:val="009016C9"/>
    <w:rsid w:val="009021E5"/>
    <w:rsid w:val="0090250B"/>
    <w:rsid w:val="0090291E"/>
    <w:rsid w:val="00902B75"/>
    <w:rsid w:val="009033F1"/>
    <w:rsid w:val="00903702"/>
    <w:rsid w:val="00903962"/>
    <w:rsid w:val="00903AE3"/>
    <w:rsid w:val="00903DE4"/>
    <w:rsid w:val="00903ED2"/>
    <w:rsid w:val="009043F1"/>
    <w:rsid w:val="0090456F"/>
    <w:rsid w:val="00905517"/>
    <w:rsid w:val="00905FC6"/>
    <w:rsid w:val="009062F7"/>
    <w:rsid w:val="00906878"/>
    <w:rsid w:val="00906A78"/>
    <w:rsid w:val="00906AF6"/>
    <w:rsid w:val="00907734"/>
    <w:rsid w:val="00911A52"/>
    <w:rsid w:val="0091294E"/>
    <w:rsid w:val="00913470"/>
    <w:rsid w:val="00913568"/>
    <w:rsid w:val="00913834"/>
    <w:rsid w:val="00913ADF"/>
    <w:rsid w:val="00913BA6"/>
    <w:rsid w:val="00913E01"/>
    <w:rsid w:val="00914594"/>
    <w:rsid w:val="00914D3A"/>
    <w:rsid w:val="00914ED6"/>
    <w:rsid w:val="0091543C"/>
    <w:rsid w:val="00915757"/>
    <w:rsid w:val="0091587D"/>
    <w:rsid w:val="0091591A"/>
    <w:rsid w:val="00915B81"/>
    <w:rsid w:val="00917046"/>
    <w:rsid w:val="009178AE"/>
    <w:rsid w:val="00917D5E"/>
    <w:rsid w:val="00917E23"/>
    <w:rsid w:val="00920223"/>
    <w:rsid w:val="009206A4"/>
    <w:rsid w:val="009208E1"/>
    <w:rsid w:val="00920A5B"/>
    <w:rsid w:val="00920C0C"/>
    <w:rsid w:val="00920E6B"/>
    <w:rsid w:val="00921A6F"/>
    <w:rsid w:val="00922639"/>
    <w:rsid w:val="009226B3"/>
    <w:rsid w:val="009226FC"/>
    <w:rsid w:val="00922893"/>
    <w:rsid w:val="009233A9"/>
    <w:rsid w:val="0092427D"/>
    <w:rsid w:val="00924652"/>
    <w:rsid w:val="009252DE"/>
    <w:rsid w:val="00925A4D"/>
    <w:rsid w:val="00925E60"/>
    <w:rsid w:val="009263ED"/>
    <w:rsid w:val="00926614"/>
    <w:rsid w:val="009268B9"/>
    <w:rsid w:val="00926A70"/>
    <w:rsid w:val="00926B9C"/>
    <w:rsid w:val="00927523"/>
    <w:rsid w:val="00927765"/>
    <w:rsid w:val="00927A74"/>
    <w:rsid w:val="00927B30"/>
    <w:rsid w:val="00930529"/>
    <w:rsid w:val="0093060F"/>
    <w:rsid w:val="009313BF"/>
    <w:rsid w:val="00931962"/>
    <w:rsid w:val="009325E4"/>
    <w:rsid w:val="009327AC"/>
    <w:rsid w:val="00932A5B"/>
    <w:rsid w:val="009335D9"/>
    <w:rsid w:val="00933E12"/>
    <w:rsid w:val="00933F20"/>
    <w:rsid w:val="00934CA0"/>
    <w:rsid w:val="00934DC5"/>
    <w:rsid w:val="00934E13"/>
    <w:rsid w:val="009350F7"/>
    <w:rsid w:val="00935393"/>
    <w:rsid w:val="009354E6"/>
    <w:rsid w:val="0093579C"/>
    <w:rsid w:val="0093588E"/>
    <w:rsid w:val="00936C31"/>
    <w:rsid w:val="009377DF"/>
    <w:rsid w:val="00937E41"/>
    <w:rsid w:val="00940ABE"/>
    <w:rsid w:val="00940F69"/>
    <w:rsid w:val="009412A4"/>
    <w:rsid w:val="00941531"/>
    <w:rsid w:val="0094193A"/>
    <w:rsid w:val="0094253A"/>
    <w:rsid w:val="009426A7"/>
    <w:rsid w:val="00942BAA"/>
    <w:rsid w:val="00942E95"/>
    <w:rsid w:val="0094427A"/>
    <w:rsid w:val="009444CE"/>
    <w:rsid w:val="00945637"/>
    <w:rsid w:val="009456F6"/>
    <w:rsid w:val="00945F8A"/>
    <w:rsid w:val="0094683D"/>
    <w:rsid w:val="00946D8C"/>
    <w:rsid w:val="009472C4"/>
    <w:rsid w:val="00947472"/>
    <w:rsid w:val="00947887"/>
    <w:rsid w:val="0095008B"/>
    <w:rsid w:val="00950A51"/>
    <w:rsid w:val="00952941"/>
    <w:rsid w:val="00953245"/>
    <w:rsid w:val="0095348D"/>
    <w:rsid w:val="00953C5A"/>
    <w:rsid w:val="00955238"/>
    <w:rsid w:val="009552A7"/>
    <w:rsid w:val="00955CE5"/>
    <w:rsid w:val="00956450"/>
    <w:rsid w:val="009566FC"/>
    <w:rsid w:val="00957AF7"/>
    <w:rsid w:val="00960C26"/>
    <w:rsid w:val="009611A1"/>
    <w:rsid w:val="00961272"/>
    <w:rsid w:val="00961731"/>
    <w:rsid w:val="00961EED"/>
    <w:rsid w:val="009624CC"/>
    <w:rsid w:val="00962822"/>
    <w:rsid w:val="00963739"/>
    <w:rsid w:val="0096379E"/>
    <w:rsid w:val="00963BB3"/>
    <w:rsid w:val="009640E8"/>
    <w:rsid w:val="00964DB3"/>
    <w:rsid w:val="00965030"/>
    <w:rsid w:val="009656CE"/>
    <w:rsid w:val="00965F91"/>
    <w:rsid w:val="0096618B"/>
    <w:rsid w:val="00966525"/>
    <w:rsid w:val="009666C9"/>
    <w:rsid w:val="00966FD6"/>
    <w:rsid w:val="009670FC"/>
    <w:rsid w:val="00967531"/>
    <w:rsid w:val="009705FD"/>
    <w:rsid w:val="00970E4C"/>
    <w:rsid w:val="009711DC"/>
    <w:rsid w:val="00971506"/>
    <w:rsid w:val="00972463"/>
    <w:rsid w:val="009727AD"/>
    <w:rsid w:val="00973587"/>
    <w:rsid w:val="00974DC5"/>
    <w:rsid w:val="00975E2A"/>
    <w:rsid w:val="0097618F"/>
    <w:rsid w:val="00976735"/>
    <w:rsid w:val="00976909"/>
    <w:rsid w:val="009772B5"/>
    <w:rsid w:val="00977835"/>
    <w:rsid w:val="00980219"/>
    <w:rsid w:val="0098039F"/>
    <w:rsid w:val="00980599"/>
    <w:rsid w:val="00980713"/>
    <w:rsid w:val="00980E8C"/>
    <w:rsid w:val="00981345"/>
    <w:rsid w:val="00981B43"/>
    <w:rsid w:val="00981E76"/>
    <w:rsid w:val="009825D0"/>
    <w:rsid w:val="00982BBD"/>
    <w:rsid w:val="00983166"/>
    <w:rsid w:val="00983202"/>
    <w:rsid w:val="009832A8"/>
    <w:rsid w:val="009847B3"/>
    <w:rsid w:val="00984E2D"/>
    <w:rsid w:val="009854E3"/>
    <w:rsid w:val="00985E2A"/>
    <w:rsid w:val="00985EF7"/>
    <w:rsid w:val="00986010"/>
    <w:rsid w:val="00986180"/>
    <w:rsid w:val="00986329"/>
    <w:rsid w:val="00986353"/>
    <w:rsid w:val="00986CCE"/>
    <w:rsid w:val="0098724A"/>
    <w:rsid w:val="009879BF"/>
    <w:rsid w:val="00987B2D"/>
    <w:rsid w:val="0099057E"/>
    <w:rsid w:val="00990593"/>
    <w:rsid w:val="0099074B"/>
    <w:rsid w:val="00990848"/>
    <w:rsid w:val="00990C04"/>
    <w:rsid w:val="00991828"/>
    <w:rsid w:val="00991FB0"/>
    <w:rsid w:val="0099271F"/>
    <w:rsid w:val="009928E3"/>
    <w:rsid w:val="00992B64"/>
    <w:rsid w:val="00992CF3"/>
    <w:rsid w:val="0099307A"/>
    <w:rsid w:val="0099343A"/>
    <w:rsid w:val="0099365D"/>
    <w:rsid w:val="009936FB"/>
    <w:rsid w:val="009937D5"/>
    <w:rsid w:val="00994459"/>
    <w:rsid w:val="009944AC"/>
    <w:rsid w:val="009945B1"/>
    <w:rsid w:val="00994739"/>
    <w:rsid w:val="009959A1"/>
    <w:rsid w:val="00995EF7"/>
    <w:rsid w:val="00995FB8"/>
    <w:rsid w:val="009965C2"/>
    <w:rsid w:val="0099666D"/>
    <w:rsid w:val="009966B1"/>
    <w:rsid w:val="00996764"/>
    <w:rsid w:val="00996E8C"/>
    <w:rsid w:val="00997300"/>
    <w:rsid w:val="00997B1B"/>
    <w:rsid w:val="009A0DE0"/>
    <w:rsid w:val="009A0F9A"/>
    <w:rsid w:val="009A1139"/>
    <w:rsid w:val="009A182C"/>
    <w:rsid w:val="009A258D"/>
    <w:rsid w:val="009A2754"/>
    <w:rsid w:val="009A2836"/>
    <w:rsid w:val="009A2C4A"/>
    <w:rsid w:val="009A308F"/>
    <w:rsid w:val="009A3334"/>
    <w:rsid w:val="009A3AD3"/>
    <w:rsid w:val="009A3EBF"/>
    <w:rsid w:val="009A3FBF"/>
    <w:rsid w:val="009A42FE"/>
    <w:rsid w:val="009A4A20"/>
    <w:rsid w:val="009A55BE"/>
    <w:rsid w:val="009A5AA7"/>
    <w:rsid w:val="009A600F"/>
    <w:rsid w:val="009A62EE"/>
    <w:rsid w:val="009A668F"/>
    <w:rsid w:val="009A6C80"/>
    <w:rsid w:val="009A6F69"/>
    <w:rsid w:val="009A76E7"/>
    <w:rsid w:val="009A7AF0"/>
    <w:rsid w:val="009B0222"/>
    <w:rsid w:val="009B053D"/>
    <w:rsid w:val="009B0BBE"/>
    <w:rsid w:val="009B0D60"/>
    <w:rsid w:val="009B0DA4"/>
    <w:rsid w:val="009B0F62"/>
    <w:rsid w:val="009B11EE"/>
    <w:rsid w:val="009B133A"/>
    <w:rsid w:val="009B1D36"/>
    <w:rsid w:val="009B228F"/>
    <w:rsid w:val="009B2475"/>
    <w:rsid w:val="009B2799"/>
    <w:rsid w:val="009B3EA4"/>
    <w:rsid w:val="009B54D7"/>
    <w:rsid w:val="009B5530"/>
    <w:rsid w:val="009B5552"/>
    <w:rsid w:val="009B5970"/>
    <w:rsid w:val="009B6606"/>
    <w:rsid w:val="009B6D76"/>
    <w:rsid w:val="009B7481"/>
    <w:rsid w:val="009B7C88"/>
    <w:rsid w:val="009B7EF5"/>
    <w:rsid w:val="009C02C1"/>
    <w:rsid w:val="009C02E7"/>
    <w:rsid w:val="009C0A91"/>
    <w:rsid w:val="009C1BFC"/>
    <w:rsid w:val="009C1E8C"/>
    <w:rsid w:val="009C2046"/>
    <w:rsid w:val="009C213E"/>
    <w:rsid w:val="009C24C7"/>
    <w:rsid w:val="009C2DD2"/>
    <w:rsid w:val="009C3A9B"/>
    <w:rsid w:val="009C3C28"/>
    <w:rsid w:val="009C3F3C"/>
    <w:rsid w:val="009C43F1"/>
    <w:rsid w:val="009C519C"/>
    <w:rsid w:val="009C51D5"/>
    <w:rsid w:val="009C55DE"/>
    <w:rsid w:val="009C64BA"/>
    <w:rsid w:val="009C673B"/>
    <w:rsid w:val="009C67EC"/>
    <w:rsid w:val="009D0004"/>
    <w:rsid w:val="009D04D5"/>
    <w:rsid w:val="009D05EB"/>
    <w:rsid w:val="009D073C"/>
    <w:rsid w:val="009D08BD"/>
    <w:rsid w:val="009D1A11"/>
    <w:rsid w:val="009D1CE4"/>
    <w:rsid w:val="009D2214"/>
    <w:rsid w:val="009D2283"/>
    <w:rsid w:val="009D26B4"/>
    <w:rsid w:val="009D2836"/>
    <w:rsid w:val="009D301D"/>
    <w:rsid w:val="009D3196"/>
    <w:rsid w:val="009D352D"/>
    <w:rsid w:val="009D4302"/>
    <w:rsid w:val="009D44B2"/>
    <w:rsid w:val="009D46FD"/>
    <w:rsid w:val="009D47BA"/>
    <w:rsid w:val="009D4819"/>
    <w:rsid w:val="009D510E"/>
    <w:rsid w:val="009D54DB"/>
    <w:rsid w:val="009D56D0"/>
    <w:rsid w:val="009D6405"/>
    <w:rsid w:val="009D6408"/>
    <w:rsid w:val="009D7493"/>
    <w:rsid w:val="009D7D36"/>
    <w:rsid w:val="009E0836"/>
    <w:rsid w:val="009E0DFB"/>
    <w:rsid w:val="009E1185"/>
    <w:rsid w:val="009E11EF"/>
    <w:rsid w:val="009E128E"/>
    <w:rsid w:val="009E189C"/>
    <w:rsid w:val="009E19CB"/>
    <w:rsid w:val="009E27AD"/>
    <w:rsid w:val="009E2894"/>
    <w:rsid w:val="009E2E66"/>
    <w:rsid w:val="009E2F0F"/>
    <w:rsid w:val="009E360E"/>
    <w:rsid w:val="009E3F19"/>
    <w:rsid w:val="009E5020"/>
    <w:rsid w:val="009E52CA"/>
    <w:rsid w:val="009E52F6"/>
    <w:rsid w:val="009E5AF5"/>
    <w:rsid w:val="009E5F24"/>
    <w:rsid w:val="009E5FE9"/>
    <w:rsid w:val="009E6344"/>
    <w:rsid w:val="009E6469"/>
    <w:rsid w:val="009E699C"/>
    <w:rsid w:val="009E6E52"/>
    <w:rsid w:val="009E70BD"/>
    <w:rsid w:val="009E7285"/>
    <w:rsid w:val="009E72BC"/>
    <w:rsid w:val="009E74F5"/>
    <w:rsid w:val="009E7791"/>
    <w:rsid w:val="009E7831"/>
    <w:rsid w:val="009F00E6"/>
    <w:rsid w:val="009F0AA9"/>
    <w:rsid w:val="009F193B"/>
    <w:rsid w:val="009F19DE"/>
    <w:rsid w:val="009F2746"/>
    <w:rsid w:val="009F29FB"/>
    <w:rsid w:val="009F34D2"/>
    <w:rsid w:val="009F3986"/>
    <w:rsid w:val="009F3EEC"/>
    <w:rsid w:val="009F4607"/>
    <w:rsid w:val="009F46B8"/>
    <w:rsid w:val="009F4E3F"/>
    <w:rsid w:val="009F5267"/>
    <w:rsid w:val="009F572D"/>
    <w:rsid w:val="009F5A15"/>
    <w:rsid w:val="009F5BD7"/>
    <w:rsid w:val="009F70F5"/>
    <w:rsid w:val="009F76A7"/>
    <w:rsid w:val="009F7900"/>
    <w:rsid w:val="009F7D66"/>
    <w:rsid w:val="00A00204"/>
    <w:rsid w:val="00A00286"/>
    <w:rsid w:val="00A0034A"/>
    <w:rsid w:val="00A00859"/>
    <w:rsid w:val="00A00F75"/>
    <w:rsid w:val="00A0118D"/>
    <w:rsid w:val="00A012DE"/>
    <w:rsid w:val="00A0224B"/>
    <w:rsid w:val="00A02290"/>
    <w:rsid w:val="00A027E6"/>
    <w:rsid w:val="00A027F5"/>
    <w:rsid w:val="00A02D27"/>
    <w:rsid w:val="00A03A2B"/>
    <w:rsid w:val="00A03B62"/>
    <w:rsid w:val="00A05C6C"/>
    <w:rsid w:val="00A05FC1"/>
    <w:rsid w:val="00A06408"/>
    <w:rsid w:val="00A06CDE"/>
    <w:rsid w:val="00A07509"/>
    <w:rsid w:val="00A07745"/>
    <w:rsid w:val="00A078AA"/>
    <w:rsid w:val="00A106BA"/>
    <w:rsid w:val="00A1221F"/>
    <w:rsid w:val="00A13A03"/>
    <w:rsid w:val="00A13D72"/>
    <w:rsid w:val="00A14191"/>
    <w:rsid w:val="00A14DE9"/>
    <w:rsid w:val="00A14E8D"/>
    <w:rsid w:val="00A15B75"/>
    <w:rsid w:val="00A16292"/>
    <w:rsid w:val="00A16956"/>
    <w:rsid w:val="00A16A4B"/>
    <w:rsid w:val="00A17410"/>
    <w:rsid w:val="00A174AF"/>
    <w:rsid w:val="00A2028F"/>
    <w:rsid w:val="00A20C5A"/>
    <w:rsid w:val="00A20D44"/>
    <w:rsid w:val="00A215B2"/>
    <w:rsid w:val="00A2186C"/>
    <w:rsid w:val="00A218A1"/>
    <w:rsid w:val="00A21F22"/>
    <w:rsid w:val="00A2280E"/>
    <w:rsid w:val="00A22BAC"/>
    <w:rsid w:val="00A22CD3"/>
    <w:rsid w:val="00A22CF9"/>
    <w:rsid w:val="00A22FA0"/>
    <w:rsid w:val="00A2327D"/>
    <w:rsid w:val="00A233C2"/>
    <w:rsid w:val="00A23633"/>
    <w:rsid w:val="00A23A7D"/>
    <w:rsid w:val="00A23DCE"/>
    <w:rsid w:val="00A23FD1"/>
    <w:rsid w:val="00A24875"/>
    <w:rsid w:val="00A24B59"/>
    <w:rsid w:val="00A255A6"/>
    <w:rsid w:val="00A25F05"/>
    <w:rsid w:val="00A2602F"/>
    <w:rsid w:val="00A2732C"/>
    <w:rsid w:val="00A27330"/>
    <w:rsid w:val="00A2792B"/>
    <w:rsid w:val="00A27B25"/>
    <w:rsid w:val="00A303E0"/>
    <w:rsid w:val="00A309F2"/>
    <w:rsid w:val="00A30AD2"/>
    <w:rsid w:val="00A311A1"/>
    <w:rsid w:val="00A314B8"/>
    <w:rsid w:val="00A32097"/>
    <w:rsid w:val="00A32A14"/>
    <w:rsid w:val="00A3398D"/>
    <w:rsid w:val="00A33E0D"/>
    <w:rsid w:val="00A33E11"/>
    <w:rsid w:val="00A33F4E"/>
    <w:rsid w:val="00A348B6"/>
    <w:rsid w:val="00A34AB0"/>
    <w:rsid w:val="00A3565F"/>
    <w:rsid w:val="00A35830"/>
    <w:rsid w:val="00A36D01"/>
    <w:rsid w:val="00A37F68"/>
    <w:rsid w:val="00A40321"/>
    <w:rsid w:val="00A40329"/>
    <w:rsid w:val="00A40793"/>
    <w:rsid w:val="00A40CD6"/>
    <w:rsid w:val="00A40DFB"/>
    <w:rsid w:val="00A40F33"/>
    <w:rsid w:val="00A411DC"/>
    <w:rsid w:val="00A41801"/>
    <w:rsid w:val="00A41D90"/>
    <w:rsid w:val="00A41E93"/>
    <w:rsid w:val="00A41F08"/>
    <w:rsid w:val="00A423DD"/>
    <w:rsid w:val="00A42EA7"/>
    <w:rsid w:val="00A43929"/>
    <w:rsid w:val="00A4529D"/>
    <w:rsid w:val="00A4648C"/>
    <w:rsid w:val="00A466D3"/>
    <w:rsid w:val="00A466FB"/>
    <w:rsid w:val="00A467FB"/>
    <w:rsid w:val="00A46AB2"/>
    <w:rsid w:val="00A472C7"/>
    <w:rsid w:val="00A473A0"/>
    <w:rsid w:val="00A479F0"/>
    <w:rsid w:val="00A5020A"/>
    <w:rsid w:val="00A50777"/>
    <w:rsid w:val="00A519CD"/>
    <w:rsid w:val="00A51E85"/>
    <w:rsid w:val="00A5238A"/>
    <w:rsid w:val="00A52554"/>
    <w:rsid w:val="00A528E1"/>
    <w:rsid w:val="00A53449"/>
    <w:rsid w:val="00A539BC"/>
    <w:rsid w:val="00A53A83"/>
    <w:rsid w:val="00A53E5F"/>
    <w:rsid w:val="00A546C1"/>
    <w:rsid w:val="00A54CFA"/>
    <w:rsid w:val="00A54EF4"/>
    <w:rsid w:val="00A55646"/>
    <w:rsid w:val="00A55D46"/>
    <w:rsid w:val="00A56878"/>
    <w:rsid w:val="00A56E2D"/>
    <w:rsid w:val="00A56F3F"/>
    <w:rsid w:val="00A57BF5"/>
    <w:rsid w:val="00A60C22"/>
    <w:rsid w:val="00A61001"/>
    <w:rsid w:val="00A6108F"/>
    <w:rsid w:val="00A61619"/>
    <w:rsid w:val="00A61CB8"/>
    <w:rsid w:val="00A61DAB"/>
    <w:rsid w:val="00A621BE"/>
    <w:rsid w:val="00A62D64"/>
    <w:rsid w:val="00A630B3"/>
    <w:rsid w:val="00A6384B"/>
    <w:rsid w:val="00A648E9"/>
    <w:rsid w:val="00A64DA7"/>
    <w:rsid w:val="00A6507E"/>
    <w:rsid w:val="00A6537E"/>
    <w:rsid w:val="00A662D7"/>
    <w:rsid w:val="00A663E2"/>
    <w:rsid w:val="00A66DAF"/>
    <w:rsid w:val="00A672EF"/>
    <w:rsid w:val="00A67EC3"/>
    <w:rsid w:val="00A67FDF"/>
    <w:rsid w:val="00A706FD"/>
    <w:rsid w:val="00A710D4"/>
    <w:rsid w:val="00A71AB5"/>
    <w:rsid w:val="00A71D02"/>
    <w:rsid w:val="00A71DA0"/>
    <w:rsid w:val="00A71E02"/>
    <w:rsid w:val="00A720BB"/>
    <w:rsid w:val="00A720C5"/>
    <w:rsid w:val="00A7298B"/>
    <w:rsid w:val="00A72AA8"/>
    <w:rsid w:val="00A72E5E"/>
    <w:rsid w:val="00A73198"/>
    <w:rsid w:val="00A739B1"/>
    <w:rsid w:val="00A739B2"/>
    <w:rsid w:val="00A73B2B"/>
    <w:rsid w:val="00A73ED6"/>
    <w:rsid w:val="00A74D9A"/>
    <w:rsid w:val="00A75457"/>
    <w:rsid w:val="00A75D5A"/>
    <w:rsid w:val="00A768E6"/>
    <w:rsid w:val="00A76A6A"/>
    <w:rsid w:val="00A76F87"/>
    <w:rsid w:val="00A770A6"/>
    <w:rsid w:val="00A77A01"/>
    <w:rsid w:val="00A77DCA"/>
    <w:rsid w:val="00A77E34"/>
    <w:rsid w:val="00A80197"/>
    <w:rsid w:val="00A807D2"/>
    <w:rsid w:val="00A80CD2"/>
    <w:rsid w:val="00A80EB0"/>
    <w:rsid w:val="00A81EE8"/>
    <w:rsid w:val="00A82F5C"/>
    <w:rsid w:val="00A83337"/>
    <w:rsid w:val="00A8365E"/>
    <w:rsid w:val="00A83F45"/>
    <w:rsid w:val="00A84432"/>
    <w:rsid w:val="00A84584"/>
    <w:rsid w:val="00A85488"/>
    <w:rsid w:val="00A854B5"/>
    <w:rsid w:val="00A855A8"/>
    <w:rsid w:val="00A86269"/>
    <w:rsid w:val="00A86633"/>
    <w:rsid w:val="00A86C27"/>
    <w:rsid w:val="00A87328"/>
    <w:rsid w:val="00A879F7"/>
    <w:rsid w:val="00A87EE1"/>
    <w:rsid w:val="00A904A1"/>
    <w:rsid w:val="00A90ACC"/>
    <w:rsid w:val="00A91775"/>
    <w:rsid w:val="00A92752"/>
    <w:rsid w:val="00A938E6"/>
    <w:rsid w:val="00A93EBA"/>
    <w:rsid w:val="00A93FE5"/>
    <w:rsid w:val="00A940AF"/>
    <w:rsid w:val="00A943B4"/>
    <w:rsid w:val="00A9469B"/>
    <w:rsid w:val="00A9516B"/>
    <w:rsid w:val="00A95651"/>
    <w:rsid w:val="00A95DE6"/>
    <w:rsid w:val="00A96AC1"/>
    <w:rsid w:val="00A96F98"/>
    <w:rsid w:val="00A970AF"/>
    <w:rsid w:val="00A97277"/>
    <w:rsid w:val="00A9766F"/>
    <w:rsid w:val="00A97DE5"/>
    <w:rsid w:val="00A97E11"/>
    <w:rsid w:val="00AA0008"/>
    <w:rsid w:val="00AA135E"/>
    <w:rsid w:val="00AA1802"/>
    <w:rsid w:val="00AA1B65"/>
    <w:rsid w:val="00AA1B95"/>
    <w:rsid w:val="00AA1D20"/>
    <w:rsid w:val="00AA1EC5"/>
    <w:rsid w:val="00AA24E4"/>
    <w:rsid w:val="00AA2FFD"/>
    <w:rsid w:val="00AA46CB"/>
    <w:rsid w:val="00AA4A58"/>
    <w:rsid w:val="00AA539C"/>
    <w:rsid w:val="00AA541B"/>
    <w:rsid w:val="00AA569E"/>
    <w:rsid w:val="00AA5B50"/>
    <w:rsid w:val="00AA5E17"/>
    <w:rsid w:val="00AA5F58"/>
    <w:rsid w:val="00AA6284"/>
    <w:rsid w:val="00AA7933"/>
    <w:rsid w:val="00AA7B4F"/>
    <w:rsid w:val="00AA7E4C"/>
    <w:rsid w:val="00AA7EED"/>
    <w:rsid w:val="00AA7F54"/>
    <w:rsid w:val="00AB01BA"/>
    <w:rsid w:val="00AB071F"/>
    <w:rsid w:val="00AB082E"/>
    <w:rsid w:val="00AB0B0A"/>
    <w:rsid w:val="00AB0DAE"/>
    <w:rsid w:val="00AB1249"/>
    <w:rsid w:val="00AB22F0"/>
    <w:rsid w:val="00AB38EB"/>
    <w:rsid w:val="00AB42C7"/>
    <w:rsid w:val="00AB493B"/>
    <w:rsid w:val="00AB4BF1"/>
    <w:rsid w:val="00AB4C2F"/>
    <w:rsid w:val="00AB4E2E"/>
    <w:rsid w:val="00AB4F34"/>
    <w:rsid w:val="00AB6207"/>
    <w:rsid w:val="00AB6565"/>
    <w:rsid w:val="00AB6930"/>
    <w:rsid w:val="00AB7088"/>
    <w:rsid w:val="00AB7BF0"/>
    <w:rsid w:val="00AB7E13"/>
    <w:rsid w:val="00AB7E90"/>
    <w:rsid w:val="00AB7F9C"/>
    <w:rsid w:val="00AC02C1"/>
    <w:rsid w:val="00AC0892"/>
    <w:rsid w:val="00AC0AB6"/>
    <w:rsid w:val="00AC0E2E"/>
    <w:rsid w:val="00AC1C26"/>
    <w:rsid w:val="00AC1F85"/>
    <w:rsid w:val="00AC32BC"/>
    <w:rsid w:val="00AC341A"/>
    <w:rsid w:val="00AC3738"/>
    <w:rsid w:val="00AC385F"/>
    <w:rsid w:val="00AC4811"/>
    <w:rsid w:val="00AC4C1B"/>
    <w:rsid w:val="00AC5065"/>
    <w:rsid w:val="00AC54E1"/>
    <w:rsid w:val="00AC589B"/>
    <w:rsid w:val="00AC58F3"/>
    <w:rsid w:val="00AC5E19"/>
    <w:rsid w:val="00AC6636"/>
    <w:rsid w:val="00AC6863"/>
    <w:rsid w:val="00AC6A05"/>
    <w:rsid w:val="00AC6F34"/>
    <w:rsid w:val="00AC70B0"/>
    <w:rsid w:val="00AC713E"/>
    <w:rsid w:val="00AC71A9"/>
    <w:rsid w:val="00AC7460"/>
    <w:rsid w:val="00AD0D40"/>
    <w:rsid w:val="00AD190A"/>
    <w:rsid w:val="00AD1B18"/>
    <w:rsid w:val="00AD209D"/>
    <w:rsid w:val="00AD2B2D"/>
    <w:rsid w:val="00AD346E"/>
    <w:rsid w:val="00AD35ED"/>
    <w:rsid w:val="00AD3C3E"/>
    <w:rsid w:val="00AD3CAD"/>
    <w:rsid w:val="00AD4C0A"/>
    <w:rsid w:val="00AD50AC"/>
    <w:rsid w:val="00AD5275"/>
    <w:rsid w:val="00AD5BDE"/>
    <w:rsid w:val="00AD6145"/>
    <w:rsid w:val="00AD6631"/>
    <w:rsid w:val="00AD6B33"/>
    <w:rsid w:val="00AD6C8E"/>
    <w:rsid w:val="00AD6D2B"/>
    <w:rsid w:val="00AD7893"/>
    <w:rsid w:val="00AD7992"/>
    <w:rsid w:val="00AD7AFE"/>
    <w:rsid w:val="00AD7EFE"/>
    <w:rsid w:val="00AE0009"/>
    <w:rsid w:val="00AE0F57"/>
    <w:rsid w:val="00AE1627"/>
    <w:rsid w:val="00AE1772"/>
    <w:rsid w:val="00AE1836"/>
    <w:rsid w:val="00AE2606"/>
    <w:rsid w:val="00AE29C9"/>
    <w:rsid w:val="00AE33A3"/>
    <w:rsid w:val="00AE3442"/>
    <w:rsid w:val="00AE3C76"/>
    <w:rsid w:val="00AE4539"/>
    <w:rsid w:val="00AE4A5C"/>
    <w:rsid w:val="00AE5D2F"/>
    <w:rsid w:val="00AE6A70"/>
    <w:rsid w:val="00AF039E"/>
    <w:rsid w:val="00AF06F9"/>
    <w:rsid w:val="00AF1DB2"/>
    <w:rsid w:val="00AF2A56"/>
    <w:rsid w:val="00AF2ECD"/>
    <w:rsid w:val="00AF2FD9"/>
    <w:rsid w:val="00AF3ADE"/>
    <w:rsid w:val="00AF3EA1"/>
    <w:rsid w:val="00AF44FF"/>
    <w:rsid w:val="00AF45CF"/>
    <w:rsid w:val="00AF4E4C"/>
    <w:rsid w:val="00AF58EF"/>
    <w:rsid w:val="00AF5C0F"/>
    <w:rsid w:val="00AF6472"/>
    <w:rsid w:val="00AF67F1"/>
    <w:rsid w:val="00AF6D6D"/>
    <w:rsid w:val="00AF737A"/>
    <w:rsid w:val="00AF7B37"/>
    <w:rsid w:val="00AF7C8E"/>
    <w:rsid w:val="00B0019B"/>
    <w:rsid w:val="00B00456"/>
    <w:rsid w:val="00B0065A"/>
    <w:rsid w:val="00B013AE"/>
    <w:rsid w:val="00B01418"/>
    <w:rsid w:val="00B0169C"/>
    <w:rsid w:val="00B017C8"/>
    <w:rsid w:val="00B0191E"/>
    <w:rsid w:val="00B019FC"/>
    <w:rsid w:val="00B01A53"/>
    <w:rsid w:val="00B01FB6"/>
    <w:rsid w:val="00B02B29"/>
    <w:rsid w:val="00B02D79"/>
    <w:rsid w:val="00B032DB"/>
    <w:rsid w:val="00B036A3"/>
    <w:rsid w:val="00B03912"/>
    <w:rsid w:val="00B04F05"/>
    <w:rsid w:val="00B05C03"/>
    <w:rsid w:val="00B0627C"/>
    <w:rsid w:val="00B06BDC"/>
    <w:rsid w:val="00B07611"/>
    <w:rsid w:val="00B07E53"/>
    <w:rsid w:val="00B07F68"/>
    <w:rsid w:val="00B1049E"/>
    <w:rsid w:val="00B1075E"/>
    <w:rsid w:val="00B10AE0"/>
    <w:rsid w:val="00B10DFA"/>
    <w:rsid w:val="00B118B5"/>
    <w:rsid w:val="00B125D8"/>
    <w:rsid w:val="00B12A7A"/>
    <w:rsid w:val="00B12AD6"/>
    <w:rsid w:val="00B12DF5"/>
    <w:rsid w:val="00B13954"/>
    <w:rsid w:val="00B13CF8"/>
    <w:rsid w:val="00B13EAE"/>
    <w:rsid w:val="00B13FCA"/>
    <w:rsid w:val="00B141F6"/>
    <w:rsid w:val="00B1448C"/>
    <w:rsid w:val="00B14AFB"/>
    <w:rsid w:val="00B1513F"/>
    <w:rsid w:val="00B15535"/>
    <w:rsid w:val="00B157F6"/>
    <w:rsid w:val="00B159A0"/>
    <w:rsid w:val="00B160EA"/>
    <w:rsid w:val="00B16CB2"/>
    <w:rsid w:val="00B17128"/>
    <w:rsid w:val="00B175E8"/>
    <w:rsid w:val="00B20580"/>
    <w:rsid w:val="00B20991"/>
    <w:rsid w:val="00B20E87"/>
    <w:rsid w:val="00B2157E"/>
    <w:rsid w:val="00B215D9"/>
    <w:rsid w:val="00B21E3F"/>
    <w:rsid w:val="00B22299"/>
    <w:rsid w:val="00B2320A"/>
    <w:rsid w:val="00B24762"/>
    <w:rsid w:val="00B249B7"/>
    <w:rsid w:val="00B24E81"/>
    <w:rsid w:val="00B24EA4"/>
    <w:rsid w:val="00B253AB"/>
    <w:rsid w:val="00B25850"/>
    <w:rsid w:val="00B259DD"/>
    <w:rsid w:val="00B26557"/>
    <w:rsid w:val="00B26A85"/>
    <w:rsid w:val="00B27A9C"/>
    <w:rsid w:val="00B3000E"/>
    <w:rsid w:val="00B306D9"/>
    <w:rsid w:val="00B30738"/>
    <w:rsid w:val="00B309D7"/>
    <w:rsid w:val="00B31523"/>
    <w:rsid w:val="00B31CC0"/>
    <w:rsid w:val="00B32112"/>
    <w:rsid w:val="00B32677"/>
    <w:rsid w:val="00B326D7"/>
    <w:rsid w:val="00B32774"/>
    <w:rsid w:val="00B34160"/>
    <w:rsid w:val="00B34D1C"/>
    <w:rsid w:val="00B353FA"/>
    <w:rsid w:val="00B35BA4"/>
    <w:rsid w:val="00B35D49"/>
    <w:rsid w:val="00B36354"/>
    <w:rsid w:val="00B36371"/>
    <w:rsid w:val="00B36A9D"/>
    <w:rsid w:val="00B36F73"/>
    <w:rsid w:val="00B373CA"/>
    <w:rsid w:val="00B40186"/>
    <w:rsid w:val="00B40292"/>
    <w:rsid w:val="00B4053C"/>
    <w:rsid w:val="00B40E6F"/>
    <w:rsid w:val="00B41318"/>
    <w:rsid w:val="00B4132E"/>
    <w:rsid w:val="00B4157A"/>
    <w:rsid w:val="00B41BB6"/>
    <w:rsid w:val="00B42165"/>
    <w:rsid w:val="00B42485"/>
    <w:rsid w:val="00B42FB0"/>
    <w:rsid w:val="00B43347"/>
    <w:rsid w:val="00B43650"/>
    <w:rsid w:val="00B43E31"/>
    <w:rsid w:val="00B442AA"/>
    <w:rsid w:val="00B443CB"/>
    <w:rsid w:val="00B44A60"/>
    <w:rsid w:val="00B45015"/>
    <w:rsid w:val="00B47AFE"/>
    <w:rsid w:val="00B47E98"/>
    <w:rsid w:val="00B5015C"/>
    <w:rsid w:val="00B507CD"/>
    <w:rsid w:val="00B50FA0"/>
    <w:rsid w:val="00B518B0"/>
    <w:rsid w:val="00B51C9F"/>
    <w:rsid w:val="00B5268B"/>
    <w:rsid w:val="00B528D0"/>
    <w:rsid w:val="00B5311B"/>
    <w:rsid w:val="00B5388D"/>
    <w:rsid w:val="00B540B9"/>
    <w:rsid w:val="00B54E2E"/>
    <w:rsid w:val="00B56472"/>
    <w:rsid w:val="00B56799"/>
    <w:rsid w:val="00B56D20"/>
    <w:rsid w:val="00B572BE"/>
    <w:rsid w:val="00B57407"/>
    <w:rsid w:val="00B5767A"/>
    <w:rsid w:val="00B5790D"/>
    <w:rsid w:val="00B57EF7"/>
    <w:rsid w:val="00B57FE8"/>
    <w:rsid w:val="00B6080B"/>
    <w:rsid w:val="00B6106B"/>
    <w:rsid w:val="00B61259"/>
    <w:rsid w:val="00B62962"/>
    <w:rsid w:val="00B63337"/>
    <w:rsid w:val="00B637B6"/>
    <w:rsid w:val="00B6402D"/>
    <w:rsid w:val="00B641E3"/>
    <w:rsid w:val="00B65001"/>
    <w:rsid w:val="00B65772"/>
    <w:rsid w:val="00B657C7"/>
    <w:rsid w:val="00B65822"/>
    <w:rsid w:val="00B66384"/>
    <w:rsid w:val="00B663D1"/>
    <w:rsid w:val="00B6729C"/>
    <w:rsid w:val="00B679DD"/>
    <w:rsid w:val="00B70011"/>
    <w:rsid w:val="00B70161"/>
    <w:rsid w:val="00B703F9"/>
    <w:rsid w:val="00B706F0"/>
    <w:rsid w:val="00B70BCB"/>
    <w:rsid w:val="00B70CA2"/>
    <w:rsid w:val="00B71439"/>
    <w:rsid w:val="00B7231B"/>
    <w:rsid w:val="00B7244D"/>
    <w:rsid w:val="00B7267A"/>
    <w:rsid w:val="00B72D22"/>
    <w:rsid w:val="00B73627"/>
    <w:rsid w:val="00B73B27"/>
    <w:rsid w:val="00B73F59"/>
    <w:rsid w:val="00B74751"/>
    <w:rsid w:val="00B74E19"/>
    <w:rsid w:val="00B7507E"/>
    <w:rsid w:val="00B75206"/>
    <w:rsid w:val="00B75712"/>
    <w:rsid w:val="00B76042"/>
    <w:rsid w:val="00B765C6"/>
    <w:rsid w:val="00B76903"/>
    <w:rsid w:val="00B76C9C"/>
    <w:rsid w:val="00B7758F"/>
    <w:rsid w:val="00B77DD3"/>
    <w:rsid w:val="00B808D6"/>
    <w:rsid w:val="00B8113F"/>
    <w:rsid w:val="00B81A05"/>
    <w:rsid w:val="00B81AE4"/>
    <w:rsid w:val="00B81DA7"/>
    <w:rsid w:val="00B82613"/>
    <w:rsid w:val="00B82D33"/>
    <w:rsid w:val="00B8458D"/>
    <w:rsid w:val="00B85389"/>
    <w:rsid w:val="00B85A32"/>
    <w:rsid w:val="00B867B2"/>
    <w:rsid w:val="00B86ED1"/>
    <w:rsid w:val="00B87080"/>
    <w:rsid w:val="00B8720E"/>
    <w:rsid w:val="00B8799E"/>
    <w:rsid w:val="00B87DDC"/>
    <w:rsid w:val="00B908FB"/>
    <w:rsid w:val="00B90AEE"/>
    <w:rsid w:val="00B90C16"/>
    <w:rsid w:val="00B910BD"/>
    <w:rsid w:val="00B913F2"/>
    <w:rsid w:val="00B916D6"/>
    <w:rsid w:val="00B91D76"/>
    <w:rsid w:val="00B91DA9"/>
    <w:rsid w:val="00B91F2D"/>
    <w:rsid w:val="00B9290E"/>
    <w:rsid w:val="00B92B7F"/>
    <w:rsid w:val="00B93008"/>
    <w:rsid w:val="00B9327B"/>
    <w:rsid w:val="00B933C3"/>
    <w:rsid w:val="00B93A16"/>
    <w:rsid w:val="00B93DE8"/>
    <w:rsid w:val="00B948C1"/>
    <w:rsid w:val="00B94E0E"/>
    <w:rsid w:val="00B95124"/>
    <w:rsid w:val="00B95281"/>
    <w:rsid w:val="00B95BAF"/>
    <w:rsid w:val="00B95BF9"/>
    <w:rsid w:val="00B968B4"/>
    <w:rsid w:val="00B96DA6"/>
    <w:rsid w:val="00B97053"/>
    <w:rsid w:val="00B975FF"/>
    <w:rsid w:val="00B97971"/>
    <w:rsid w:val="00B979A1"/>
    <w:rsid w:val="00B97CB6"/>
    <w:rsid w:val="00BA0295"/>
    <w:rsid w:val="00BA07F1"/>
    <w:rsid w:val="00BA0F81"/>
    <w:rsid w:val="00BA1433"/>
    <w:rsid w:val="00BA18F3"/>
    <w:rsid w:val="00BA23C7"/>
    <w:rsid w:val="00BA2BBA"/>
    <w:rsid w:val="00BA3174"/>
    <w:rsid w:val="00BA42C8"/>
    <w:rsid w:val="00BA546D"/>
    <w:rsid w:val="00BA6159"/>
    <w:rsid w:val="00BA70AC"/>
    <w:rsid w:val="00BA7311"/>
    <w:rsid w:val="00BA7D32"/>
    <w:rsid w:val="00BB0142"/>
    <w:rsid w:val="00BB045C"/>
    <w:rsid w:val="00BB04BD"/>
    <w:rsid w:val="00BB0D1E"/>
    <w:rsid w:val="00BB197E"/>
    <w:rsid w:val="00BB1B35"/>
    <w:rsid w:val="00BB2443"/>
    <w:rsid w:val="00BB29FC"/>
    <w:rsid w:val="00BB31F0"/>
    <w:rsid w:val="00BB3203"/>
    <w:rsid w:val="00BB3E2B"/>
    <w:rsid w:val="00BB43A0"/>
    <w:rsid w:val="00BB4898"/>
    <w:rsid w:val="00BB4CB5"/>
    <w:rsid w:val="00BB51AD"/>
    <w:rsid w:val="00BB56C3"/>
    <w:rsid w:val="00BB586C"/>
    <w:rsid w:val="00BB58BB"/>
    <w:rsid w:val="00BB5BDB"/>
    <w:rsid w:val="00BB5E13"/>
    <w:rsid w:val="00BB5EEE"/>
    <w:rsid w:val="00BB6434"/>
    <w:rsid w:val="00BB6893"/>
    <w:rsid w:val="00BB6ACC"/>
    <w:rsid w:val="00BB6AF7"/>
    <w:rsid w:val="00BB72E6"/>
    <w:rsid w:val="00BB7832"/>
    <w:rsid w:val="00BB7B14"/>
    <w:rsid w:val="00BB7FC1"/>
    <w:rsid w:val="00BC00E7"/>
    <w:rsid w:val="00BC02F4"/>
    <w:rsid w:val="00BC0BFC"/>
    <w:rsid w:val="00BC1602"/>
    <w:rsid w:val="00BC1E83"/>
    <w:rsid w:val="00BC201D"/>
    <w:rsid w:val="00BC2158"/>
    <w:rsid w:val="00BC2762"/>
    <w:rsid w:val="00BC2DB8"/>
    <w:rsid w:val="00BC3467"/>
    <w:rsid w:val="00BC37AC"/>
    <w:rsid w:val="00BC38B7"/>
    <w:rsid w:val="00BC41A5"/>
    <w:rsid w:val="00BC515A"/>
    <w:rsid w:val="00BC518D"/>
    <w:rsid w:val="00BC5741"/>
    <w:rsid w:val="00BC5980"/>
    <w:rsid w:val="00BC5AA7"/>
    <w:rsid w:val="00BC6642"/>
    <w:rsid w:val="00BC6CC1"/>
    <w:rsid w:val="00BC6CF3"/>
    <w:rsid w:val="00BC6F67"/>
    <w:rsid w:val="00BC7801"/>
    <w:rsid w:val="00BC78C6"/>
    <w:rsid w:val="00BC79E7"/>
    <w:rsid w:val="00BC7D93"/>
    <w:rsid w:val="00BC7F49"/>
    <w:rsid w:val="00BD00D6"/>
    <w:rsid w:val="00BD0BB1"/>
    <w:rsid w:val="00BD17DB"/>
    <w:rsid w:val="00BD2BE8"/>
    <w:rsid w:val="00BD2E2A"/>
    <w:rsid w:val="00BD314F"/>
    <w:rsid w:val="00BD3799"/>
    <w:rsid w:val="00BD3E6E"/>
    <w:rsid w:val="00BD44A1"/>
    <w:rsid w:val="00BD48BD"/>
    <w:rsid w:val="00BD4AFC"/>
    <w:rsid w:val="00BD527F"/>
    <w:rsid w:val="00BD52F5"/>
    <w:rsid w:val="00BD53D3"/>
    <w:rsid w:val="00BD5480"/>
    <w:rsid w:val="00BD5EA8"/>
    <w:rsid w:val="00BD61AD"/>
    <w:rsid w:val="00BD7409"/>
    <w:rsid w:val="00BD778C"/>
    <w:rsid w:val="00BD7CF5"/>
    <w:rsid w:val="00BE01B9"/>
    <w:rsid w:val="00BE02B4"/>
    <w:rsid w:val="00BE0561"/>
    <w:rsid w:val="00BE105B"/>
    <w:rsid w:val="00BE14E1"/>
    <w:rsid w:val="00BE15CC"/>
    <w:rsid w:val="00BE1B3B"/>
    <w:rsid w:val="00BE1C28"/>
    <w:rsid w:val="00BE20AE"/>
    <w:rsid w:val="00BE2552"/>
    <w:rsid w:val="00BE25D2"/>
    <w:rsid w:val="00BE34FB"/>
    <w:rsid w:val="00BE36C0"/>
    <w:rsid w:val="00BE38F0"/>
    <w:rsid w:val="00BE44FF"/>
    <w:rsid w:val="00BE4808"/>
    <w:rsid w:val="00BE48B4"/>
    <w:rsid w:val="00BE4D40"/>
    <w:rsid w:val="00BE5756"/>
    <w:rsid w:val="00BE5E78"/>
    <w:rsid w:val="00BE66C8"/>
    <w:rsid w:val="00BE700C"/>
    <w:rsid w:val="00BE787F"/>
    <w:rsid w:val="00BE7D74"/>
    <w:rsid w:val="00BE7F3E"/>
    <w:rsid w:val="00BF003A"/>
    <w:rsid w:val="00BF04E4"/>
    <w:rsid w:val="00BF05A6"/>
    <w:rsid w:val="00BF0F82"/>
    <w:rsid w:val="00BF10BC"/>
    <w:rsid w:val="00BF2796"/>
    <w:rsid w:val="00BF28BD"/>
    <w:rsid w:val="00BF2B57"/>
    <w:rsid w:val="00BF2C93"/>
    <w:rsid w:val="00BF2E08"/>
    <w:rsid w:val="00BF2F91"/>
    <w:rsid w:val="00BF32E3"/>
    <w:rsid w:val="00BF363F"/>
    <w:rsid w:val="00BF382D"/>
    <w:rsid w:val="00BF383E"/>
    <w:rsid w:val="00BF393A"/>
    <w:rsid w:val="00BF3B0F"/>
    <w:rsid w:val="00BF3B5F"/>
    <w:rsid w:val="00BF3CAF"/>
    <w:rsid w:val="00BF4471"/>
    <w:rsid w:val="00BF46A1"/>
    <w:rsid w:val="00BF5655"/>
    <w:rsid w:val="00BF5E77"/>
    <w:rsid w:val="00BF5EA7"/>
    <w:rsid w:val="00BF611B"/>
    <w:rsid w:val="00BF6409"/>
    <w:rsid w:val="00BF6780"/>
    <w:rsid w:val="00BF69B6"/>
    <w:rsid w:val="00BF69E9"/>
    <w:rsid w:val="00BF6A75"/>
    <w:rsid w:val="00BF7545"/>
    <w:rsid w:val="00BF76EB"/>
    <w:rsid w:val="00C00DFF"/>
    <w:rsid w:val="00C00F34"/>
    <w:rsid w:val="00C01AC3"/>
    <w:rsid w:val="00C01AEA"/>
    <w:rsid w:val="00C01ED4"/>
    <w:rsid w:val="00C02146"/>
    <w:rsid w:val="00C02B4D"/>
    <w:rsid w:val="00C02C17"/>
    <w:rsid w:val="00C02E57"/>
    <w:rsid w:val="00C03327"/>
    <w:rsid w:val="00C034CC"/>
    <w:rsid w:val="00C0417F"/>
    <w:rsid w:val="00C0426F"/>
    <w:rsid w:val="00C0438F"/>
    <w:rsid w:val="00C04AA2"/>
    <w:rsid w:val="00C04FC7"/>
    <w:rsid w:val="00C05674"/>
    <w:rsid w:val="00C061E1"/>
    <w:rsid w:val="00C06DF5"/>
    <w:rsid w:val="00C0702E"/>
    <w:rsid w:val="00C0724C"/>
    <w:rsid w:val="00C10381"/>
    <w:rsid w:val="00C11282"/>
    <w:rsid w:val="00C119EE"/>
    <w:rsid w:val="00C127BD"/>
    <w:rsid w:val="00C12A26"/>
    <w:rsid w:val="00C12A43"/>
    <w:rsid w:val="00C12E10"/>
    <w:rsid w:val="00C12F62"/>
    <w:rsid w:val="00C133E6"/>
    <w:rsid w:val="00C13BA4"/>
    <w:rsid w:val="00C13CED"/>
    <w:rsid w:val="00C13F49"/>
    <w:rsid w:val="00C14131"/>
    <w:rsid w:val="00C141E8"/>
    <w:rsid w:val="00C14E86"/>
    <w:rsid w:val="00C15818"/>
    <w:rsid w:val="00C15B26"/>
    <w:rsid w:val="00C15CC4"/>
    <w:rsid w:val="00C165FA"/>
    <w:rsid w:val="00C16A33"/>
    <w:rsid w:val="00C16C4A"/>
    <w:rsid w:val="00C17321"/>
    <w:rsid w:val="00C203BC"/>
    <w:rsid w:val="00C20934"/>
    <w:rsid w:val="00C209F2"/>
    <w:rsid w:val="00C20CB5"/>
    <w:rsid w:val="00C20D04"/>
    <w:rsid w:val="00C21263"/>
    <w:rsid w:val="00C21306"/>
    <w:rsid w:val="00C21360"/>
    <w:rsid w:val="00C21391"/>
    <w:rsid w:val="00C21E34"/>
    <w:rsid w:val="00C21FAF"/>
    <w:rsid w:val="00C22655"/>
    <w:rsid w:val="00C22ACB"/>
    <w:rsid w:val="00C22AD5"/>
    <w:rsid w:val="00C233EC"/>
    <w:rsid w:val="00C24246"/>
    <w:rsid w:val="00C2460B"/>
    <w:rsid w:val="00C2465B"/>
    <w:rsid w:val="00C249D2"/>
    <w:rsid w:val="00C24DAF"/>
    <w:rsid w:val="00C24DBB"/>
    <w:rsid w:val="00C2502B"/>
    <w:rsid w:val="00C25419"/>
    <w:rsid w:val="00C2559E"/>
    <w:rsid w:val="00C25BCF"/>
    <w:rsid w:val="00C25FDD"/>
    <w:rsid w:val="00C25FFA"/>
    <w:rsid w:val="00C26173"/>
    <w:rsid w:val="00C26BC8"/>
    <w:rsid w:val="00C26D4D"/>
    <w:rsid w:val="00C270F5"/>
    <w:rsid w:val="00C2726D"/>
    <w:rsid w:val="00C273B2"/>
    <w:rsid w:val="00C27D92"/>
    <w:rsid w:val="00C27EC7"/>
    <w:rsid w:val="00C30041"/>
    <w:rsid w:val="00C30B75"/>
    <w:rsid w:val="00C31473"/>
    <w:rsid w:val="00C31B07"/>
    <w:rsid w:val="00C31DEF"/>
    <w:rsid w:val="00C32409"/>
    <w:rsid w:val="00C325A0"/>
    <w:rsid w:val="00C3265F"/>
    <w:rsid w:val="00C326DF"/>
    <w:rsid w:val="00C33B0C"/>
    <w:rsid w:val="00C341F2"/>
    <w:rsid w:val="00C3550C"/>
    <w:rsid w:val="00C35C72"/>
    <w:rsid w:val="00C36799"/>
    <w:rsid w:val="00C371E7"/>
    <w:rsid w:val="00C37296"/>
    <w:rsid w:val="00C4014F"/>
    <w:rsid w:val="00C402EF"/>
    <w:rsid w:val="00C404B6"/>
    <w:rsid w:val="00C405D2"/>
    <w:rsid w:val="00C408C7"/>
    <w:rsid w:val="00C40CD5"/>
    <w:rsid w:val="00C40F3C"/>
    <w:rsid w:val="00C4139F"/>
    <w:rsid w:val="00C415A4"/>
    <w:rsid w:val="00C41CB9"/>
    <w:rsid w:val="00C42032"/>
    <w:rsid w:val="00C42B20"/>
    <w:rsid w:val="00C42D36"/>
    <w:rsid w:val="00C43019"/>
    <w:rsid w:val="00C436F8"/>
    <w:rsid w:val="00C437F4"/>
    <w:rsid w:val="00C43875"/>
    <w:rsid w:val="00C43D92"/>
    <w:rsid w:val="00C43FF0"/>
    <w:rsid w:val="00C441BA"/>
    <w:rsid w:val="00C44767"/>
    <w:rsid w:val="00C452B1"/>
    <w:rsid w:val="00C453ED"/>
    <w:rsid w:val="00C45918"/>
    <w:rsid w:val="00C46139"/>
    <w:rsid w:val="00C46A3F"/>
    <w:rsid w:val="00C47777"/>
    <w:rsid w:val="00C47A87"/>
    <w:rsid w:val="00C50042"/>
    <w:rsid w:val="00C5004B"/>
    <w:rsid w:val="00C5144F"/>
    <w:rsid w:val="00C52D62"/>
    <w:rsid w:val="00C535AE"/>
    <w:rsid w:val="00C53B06"/>
    <w:rsid w:val="00C53C11"/>
    <w:rsid w:val="00C54095"/>
    <w:rsid w:val="00C5495A"/>
    <w:rsid w:val="00C55626"/>
    <w:rsid w:val="00C55A8D"/>
    <w:rsid w:val="00C55C85"/>
    <w:rsid w:val="00C55DB1"/>
    <w:rsid w:val="00C55F01"/>
    <w:rsid w:val="00C5616A"/>
    <w:rsid w:val="00C56369"/>
    <w:rsid w:val="00C56D2D"/>
    <w:rsid w:val="00C572FB"/>
    <w:rsid w:val="00C57805"/>
    <w:rsid w:val="00C60425"/>
    <w:rsid w:val="00C60801"/>
    <w:rsid w:val="00C62965"/>
    <w:rsid w:val="00C62E26"/>
    <w:rsid w:val="00C63229"/>
    <w:rsid w:val="00C640B3"/>
    <w:rsid w:val="00C64FC0"/>
    <w:rsid w:val="00C65874"/>
    <w:rsid w:val="00C65DDD"/>
    <w:rsid w:val="00C6649D"/>
    <w:rsid w:val="00C668EB"/>
    <w:rsid w:val="00C66E0A"/>
    <w:rsid w:val="00C679A0"/>
    <w:rsid w:val="00C67B10"/>
    <w:rsid w:val="00C67B78"/>
    <w:rsid w:val="00C67D3C"/>
    <w:rsid w:val="00C70573"/>
    <w:rsid w:val="00C70798"/>
    <w:rsid w:val="00C70AE7"/>
    <w:rsid w:val="00C7126B"/>
    <w:rsid w:val="00C715AD"/>
    <w:rsid w:val="00C71DD0"/>
    <w:rsid w:val="00C725A1"/>
    <w:rsid w:val="00C726A3"/>
    <w:rsid w:val="00C73174"/>
    <w:rsid w:val="00C7339A"/>
    <w:rsid w:val="00C73A32"/>
    <w:rsid w:val="00C73AE6"/>
    <w:rsid w:val="00C73DB9"/>
    <w:rsid w:val="00C743CA"/>
    <w:rsid w:val="00C743E9"/>
    <w:rsid w:val="00C7449E"/>
    <w:rsid w:val="00C74AAB"/>
    <w:rsid w:val="00C74B87"/>
    <w:rsid w:val="00C74E4F"/>
    <w:rsid w:val="00C75184"/>
    <w:rsid w:val="00C75725"/>
    <w:rsid w:val="00C75E7A"/>
    <w:rsid w:val="00C76507"/>
    <w:rsid w:val="00C76563"/>
    <w:rsid w:val="00C76D73"/>
    <w:rsid w:val="00C76F14"/>
    <w:rsid w:val="00C771B2"/>
    <w:rsid w:val="00C77219"/>
    <w:rsid w:val="00C77539"/>
    <w:rsid w:val="00C779C3"/>
    <w:rsid w:val="00C779DA"/>
    <w:rsid w:val="00C77EA1"/>
    <w:rsid w:val="00C80380"/>
    <w:rsid w:val="00C80801"/>
    <w:rsid w:val="00C808D9"/>
    <w:rsid w:val="00C80C7A"/>
    <w:rsid w:val="00C818DB"/>
    <w:rsid w:val="00C8203A"/>
    <w:rsid w:val="00C822BA"/>
    <w:rsid w:val="00C823F7"/>
    <w:rsid w:val="00C8287D"/>
    <w:rsid w:val="00C8289A"/>
    <w:rsid w:val="00C82C2B"/>
    <w:rsid w:val="00C84715"/>
    <w:rsid w:val="00C84C0E"/>
    <w:rsid w:val="00C84E8D"/>
    <w:rsid w:val="00C856D3"/>
    <w:rsid w:val="00C861B7"/>
    <w:rsid w:val="00C86A52"/>
    <w:rsid w:val="00C87E98"/>
    <w:rsid w:val="00C87FEC"/>
    <w:rsid w:val="00C90A9C"/>
    <w:rsid w:val="00C90E30"/>
    <w:rsid w:val="00C90F76"/>
    <w:rsid w:val="00C9101B"/>
    <w:rsid w:val="00C91083"/>
    <w:rsid w:val="00C912F3"/>
    <w:rsid w:val="00C9152F"/>
    <w:rsid w:val="00C91AB0"/>
    <w:rsid w:val="00C91B9E"/>
    <w:rsid w:val="00C91D53"/>
    <w:rsid w:val="00C91E92"/>
    <w:rsid w:val="00C92184"/>
    <w:rsid w:val="00C922AE"/>
    <w:rsid w:val="00C922BF"/>
    <w:rsid w:val="00C92471"/>
    <w:rsid w:val="00C9282F"/>
    <w:rsid w:val="00C9313A"/>
    <w:rsid w:val="00C9333C"/>
    <w:rsid w:val="00C93DAF"/>
    <w:rsid w:val="00C947B6"/>
    <w:rsid w:val="00C94804"/>
    <w:rsid w:val="00C95448"/>
    <w:rsid w:val="00C957E4"/>
    <w:rsid w:val="00C95B77"/>
    <w:rsid w:val="00C95CF2"/>
    <w:rsid w:val="00C95DAA"/>
    <w:rsid w:val="00C96B13"/>
    <w:rsid w:val="00C96C17"/>
    <w:rsid w:val="00C96E9B"/>
    <w:rsid w:val="00C96EBB"/>
    <w:rsid w:val="00C96F79"/>
    <w:rsid w:val="00C97262"/>
    <w:rsid w:val="00C97597"/>
    <w:rsid w:val="00CA003A"/>
    <w:rsid w:val="00CA0706"/>
    <w:rsid w:val="00CA0BB5"/>
    <w:rsid w:val="00CA168D"/>
    <w:rsid w:val="00CA19C8"/>
    <w:rsid w:val="00CA1A53"/>
    <w:rsid w:val="00CA2338"/>
    <w:rsid w:val="00CA2401"/>
    <w:rsid w:val="00CA248E"/>
    <w:rsid w:val="00CA268C"/>
    <w:rsid w:val="00CA3518"/>
    <w:rsid w:val="00CA35A6"/>
    <w:rsid w:val="00CA4066"/>
    <w:rsid w:val="00CA4255"/>
    <w:rsid w:val="00CA4D71"/>
    <w:rsid w:val="00CA54E5"/>
    <w:rsid w:val="00CA5681"/>
    <w:rsid w:val="00CA6665"/>
    <w:rsid w:val="00CA6A27"/>
    <w:rsid w:val="00CA6A7F"/>
    <w:rsid w:val="00CA7125"/>
    <w:rsid w:val="00CA725D"/>
    <w:rsid w:val="00CA7D9B"/>
    <w:rsid w:val="00CA7DCE"/>
    <w:rsid w:val="00CA7EF8"/>
    <w:rsid w:val="00CB016F"/>
    <w:rsid w:val="00CB0659"/>
    <w:rsid w:val="00CB09DA"/>
    <w:rsid w:val="00CB0B01"/>
    <w:rsid w:val="00CB0CFB"/>
    <w:rsid w:val="00CB0F45"/>
    <w:rsid w:val="00CB14C2"/>
    <w:rsid w:val="00CB1A77"/>
    <w:rsid w:val="00CB2123"/>
    <w:rsid w:val="00CB2D4D"/>
    <w:rsid w:val="00CB321C"/>
    <w:rsid w:val="00CB3562"/>
    <w:rsid w:val="00CB37B3"/>
    <w:rsid w:val="00CB4F67"/>
    <w:rsid w:val="00CB5D95"/>
    <w:rsid w:val="00CB5E60"/>
    <w:rsid w:val="00CB615A"/>
    <w:rsid w:val="00CB6D12"/>
    <w:rsid w:val="00CB6E8E"/>
    <w:rsid w:val="00CB70DE"/>
    <w:rsid w:val="00CB7651"/>
    <w:rsid w:val="00CB78E6"/>
    <w:rsid w:val="00CB7D7C"/>
    <w:rsid w:val="00CC1022"/>
    <w:rsid w:val="00CC1069"/>
    <w:rsid w:val="00CC19A9"/>
    <w:rsid w:val="00CC19D5"/>
    <w:rsid w:val="00CC1D8C"/>
    <w:rsid w:val="00CC1EFE"/>
    <w:rsid w:val="00CC3189"/>
    <w:rsid w:val="00CC31BC"/>
    <w:rsid w:val="00CC3575"/>
    <w:rsid w:val="00CC3764"/>
    <w:rsid w:val="00CC3905"/>
    <w:rsid w:val="00CC3EE7"/>
    <w:rsid w:val="00CC4217"/>
    <w:rsid w:val="00CC4583"/>
    <w:rsid w:val="00CC4728"/>
    <w:rsid w:val="00CC4E30"/>
    <w:rsid w:val="00CC5310"/>
    <w:rsid w:val="00CC5AB8"/>
    <w:rsid w:val="00CC5E4D"/>
    <w:rsid w:val="00CC673C"/>
    <w:rsid w:val="00CC6848"/>
    <w:rsid w:val="00CC6AED"/>
    <w:rsid w:val="00CC76E3"/>
    <w:rsid w:val="00CD0A0B"/>
    <w:rsid w:val="00CD146C"/>
    <w:rsid w:val="00CD2062"/>
    <w:rsid w:val="00CD2AB1"/>
    <w:rsid w:val="00CD32F6"/>
    <w:rsid w:val="00CD3B1B"/>
    <w:rsid w:val="00CD3E75"/>
    <w:rsid w:val="00CD4966"/>
    <w:rsid w:val="00CD4BAB"/>
    <w:rsid w:val="00CD4FA8"/>
    <w:rsid w:val="00CD7E9F"/>
    <w:rsid w:val="00CE04BA"/>
    <w:rsid w:val="00CE0B54"/>
    <w:rsid w:val="00CE0B9D"/>
    <w:rsid w:val="00CE1E58"/>
    <w:rsid w:val="00CE2590"/>
    <w:rsid w:val="00CE2B10"/>
    <w:rsid w:val="00CE3961"/>
    <w:rsid w:val="00CE45C4"/>
    <w:rsid w:val="00CE4866"/>
    <w:rsid w:val="00CE514A"/>
    <w:rsid w:val="00CE5A01"/>
    <w:rsid w:val="00CE5BBD"/>
    <w:rsid w:val="00CE5CDD"/>
    <w:rsid w:val="00CE6507"/>
    <w:rsid w:val="00CE6EA4"/>
    <w:rsid w:val="00CE7136"/>
    <w:rsid w:val="00CE7CDC"/>
    <w:rsid w:val="00CE7CFA"/>
    <w:rsid w:val="00CE7EFA"/>
    <w:rsid w:val="00CE7FAD"/>
    <w:rsid w:val="00CF06A1"/>
    <w:rsid w:val="00CF0756"/>
    <w:rsid w:val="00CF170C"/>
    <w:rsid w:val="00CF1AB9"/>
    <w:rsid w:val="00CF1E18"/>
    <w:rsid w:val="00CF29F3"/>
    <w:rsid w:val="00CF2DBC"/>
    <w:rsid w:val="00CF33E7"/>
    <w:rsid w:val="00CF3A2E"/>
    <w:rsid w:val="00CF3B61"/>
    <w:rsid w:val="00CF3E4F"/>
    <w:rsid w:val="00CF3FBD"/>
    <w:rsid w:val="00CF3FEE"/>
    <w:rsid w:val="00CF4A5E"/>
    <w:rsid w:val="00CF4A93"/>
    <w:rsid w:val="00CF5952"/>
    <w:rsid w:val="00CF5D28"/>
    <w:rsid w:val="00CF5E90"/>
    <w:rsid w:val="00CF5E92"/>
    <w:rsid w:val="00CF6121"/>
    <w:rsid w:val="00CF6316"/>
    <w:rsid w:val="00CF6547"/>
    <w:rsid w:val="00CF6828"/>
    <w:rsid w:val="00CF7131"/>
    <w:rsid w:val="00CF736B"/>
    <w:rsid w:val="00CF7698"/>
    <w:rsid w:val="00CF7D10"/>
    <w:rsid w:val="00CF7E23"/>
    <w:rsid w:val="00D001E8"/>
    <w:rsid w:val="00D009EC"/>
    <w:rsid w:val="00D01307"/>
    <w:rsid w:val="00D0141D"/>
    <w:rsid w:val="00D01E3F"/>
    <w:rsid w:val="00D02560"/>
    <w:rsid w:val="00D026F3"/>
    <w:rsid w:val="00D02777"/>
    <w:rsid w:val="00D029C9"/>
    <w:rsid w:val="00D03257"/>
    <w:rsid w:val="00D03B7E"/>
    <w:rsid w:val="00D03C53"/>
    <w:rsid w:val="00D03E7B"/>
    <w:rsid w:val="00D0454B"/>
    <w:rsid w:val="00D04796"/>
    <w:rsid w:val="00D04C80"/>
    <w:rsid w:val="00D053AD"/>
    <w:rsid w:val="00D0545F"/>
    <w:rsid w:val="00D05580"/>
    <w:rsid w:val="00D0611D"/>
    <w:rsid w:val="00D064E8"/>
    <w:rsid w:val="00D07A15"/>
    <w:rsid w:val="00D07CF4"/>
    <w:rsid w:val="00D10152"/>
    <w:rsid w:val="00D10966"/>
    <w:rsid w:val="00D11401"/>
    <w:rsid w:val="00D11862"/>
    <w:rsid w:val="00D11F75"/>
    <w:rsid w:val="00D11FC2"/>
    <w:rsid w:val="00D12675"/>
    <w:rsid w:val="00D135E9"/>
    <w:rsid w:val="00D1423B"/>
    <w:rsid w:val="00D142F9"/>
    <w:rsid w:val="00D145D5"/>
    <w:rsid w:val="00D1480E"/>
    <w:rsid w:val="00D15131"/>
    <w:rsid w:val="00D153F7"/>
    <w:rsid w:val="00D1593A"/>
    <w:rsid w:val="00D15C16"/>
    <w:rsid w:val="00D15E11"/>
    <w:rsid w:val="00D15FA1"/>
    <w:rsid w:val="00D16138"/>
    <w:rsid w:val="00D164C6"/>
    <w:rsid w:val="00D16B23"/>
    <w:rsid w:val="00D17160"/>
    <w:rsid w:val="00D17AB9"/>
    <w:rsid w:val="00D17C19"/>
    <w:rsid w:val="00D203AC"/>
    <w:rsid w:val="00D2050F"/>
    <w:rsid w:val="00D2100A"/>
    <w:rsid w:val="00D21812"/>
    <w:rsid w:val="00D22549"/>
    <w:rsid w:val="00D22CE4"/>
    <w:rsid w:val="00D22F25"/>
    <w:rsid w:val="00D23029"/>
    <w:rsid w:val="00D23147"/>
    <w:rsid w:val="00D2369F"/>
    <w:rsid w:val="00D2380D"/>
    <w:rsid w:val="00D238D9"/>
    <w:rsid w:val="00D24196"/>
    <w:rsid w:val="00D246B7"/>
    <w:rsid w:val="00D2584D"/>
    <w:rsid w:val="00D25A92"/>
    <w:rsid w:val="00D25B78"/>
    <w:rsid w:val="00D260F8"/>
    <w:rsid w:val="00D26558"/>
    <w:rsid w:val="00D26636"/>
    <w:rsid w:val="00D2699C"/>
    <w:rsid w:val="00D26CB9"/>
    <w:rsid w:val="00D2752D"/>
    <w:rsid w:val="00D276DA"/>
    <w:rsid w:val="00D305E3"/>
    <w:rsid w:val="00D30919"/>
    <w:rsid w:val="00D30E4E"/>
    <w:rsid w:val="00D30ED1"/>
    <w:rsid w:val="00D313D2"/>
    <w:rsid w:val="00D31776"/>
    <w:rsid w:val="00D3186B"/>
    <w:rsid w:val="00D32775"/>
    <w:rsid w:val="00D328FB"/>
    <w:rsid w:val="00D32FAC"/>
    <w:rsid w:val="00D339CB"/>
    <w:rsid w:val="00D33B51"/>
    <w:rsid w:val="00D33E6C"/>
    <w:rsid w:val="00D33F95"/>
    <w:rsid w:val="00D34DA3"/>
    <w:rsid w:val="00D361F4"/>
    <w:rsid w:val="00D36514"/>
    <w:rsid w:val="00D36A5B"/>
    <w:rsid w:val="00D36AFB"/>
    <w:rsid w:val="00D36E74"/>
    <w:rsid w:val="00D375CE"/>
    <w:rsid w:val="00D379F2"/>
    <w:rsid w:val="00D37C9B"/>
    <w:rsid w:val="00D37DB9"/>
    <w:rsid w:val="00D4009A"/>
    <w:rsid w:val="00D40679"/>
    <w:rsid w:val="00D40837"/>
    <w:rsid w:val="00D40AD7"/>
    <w:rsid w:val="00D41104"/>
    <w:rsid w:val="00D411DD"/>
    <w:rsid w:val="00D41201"/>
    <w:rsid w:val="00D4268D"/>
    <w:rsid w:val="00D42D74"/>
    <w:rsid w:val="00D440F4"/>
    <w:rsid w:val="00D443B2"/>
    <w:rsid w:val="00D444B4"/>
    <w:rsid w:val="00D44719"/>
    <w:rsid w:val="00D44809"/>
    <w:rsid w:val="00D44C42"/>
    <w:rsid w:val="00D4502D"/>
    <w:rsid w:val="00D45313"/>
    <w:rsid w:val="00D457AC"/>
    <w:rsid w:val="00D45D4B"/>
    <w:rsid w:val="00D45ECD"/>
    <w:rsid w:val="00D4608D"/>
    <w:rsid w:val="00D4696D"/>
    <w:rsid w:val="00D46A20"/>
    <w:rsid w:val="00D46B85"/>
    <w:rsid w:val="00D46CCA"/>
    <w:rsid w:val="00D472B4"/>
    <w:rsid w:val="00D4766B"/>
    <w:rsid w:val="00D47C16"/>
    <w:rsid w:val="00D501A9"/>
    <w:rsid w:val="00D50C12"/>
    <w:rsid w:val="00D51139"/>
    <w:rsid w:val="00D51253"/>
    <w:rsid w:val="00D514FF"/>
    <w:rsid w:val="00D51917"/>
    <w:rsid w:val="00D51952"/>
    <w:rsid w:val="00D51C3A"/>
    <w:rsid w:val="00D51F78"/>
    <w:rsid w:val="00D5337B"/>
    <w:rsid w:val="00D533D4"/>
    <w:rsid w:val="00D54574"/>
    <w:rsid w:val="00D555A5"/>
    <w:rsid w:val="00D557AE"/>
    <w:rsid w:val="00D55F26"/>
    <w:rsid w:val="00D55F88"/>
    <w:rsid w:val="00D5693A"/>
    <w:rsid w:val="00D5720A"/>
    <w:rsid w:val="00D573E5"/>
    <w:rsid w:val="00D57814"/>
    <w:rsid w:val="00D57B72"/>
    <w:rsid w:val="00D6207B"/>
    <w:rsid w:val="00D6259D"/>
    <w:rsid w:val="00D629FA"/>
    <w:rsid w:val="00D62A8B"/>
    <w:rsid w:val="00D62DD8"/>
    <w:rsid w:val="00D63361"/>
    <w:rsid w:val="00D636E2"/>
    <w:rsid w:val="00D6370B"/>
    <w:rsid w:val="00D640CB"/>
    <w:rsid w:val="00D64D53"/>
    <w:rsid w:val="00D654D1"/>
    <w:rsid w:val="00D65F24"/>
    <w:rsid w:val="00D65F55"/>
    <w:rsid w:val="00D66267"/>
    <w:rsid w:val="00D666F2"/>
    <w:rsid w:val="00D66AF9"/>
    <w:rsid w:val="00D671F3"/>
    <w:rsid w:val="00D707F4"/>
    <w:rsid w:val="00D70C30"/>
    <w:rsid w:val="00D715B5"/>
    <w:rsid w:val="00D717C6"/>
    <w:rsid w:val="00D71D4F"/>
    <w:rsid w:val="00D7230D"/>
    <w:rsid w:val="00D72A8F"/>
    <w:rsid w:val="00D72E93"/>
    <w:rsid w:val="00D732F7"/>
    <w:rsid w:val="00D73331"/>
    <w:rsid w:val="00D73733"/>
    <w:rsid w:val="00D737AC"/>
    <w:rsid w:val="00D743A6"/>
    <w:rsid w:val="00D743B4"/>
    <w:rsid w:val="00D74598"/>
    <w:rsid w:val="00D754B3"/>
    <w:rsid w:val="00D7558A"/>
    <w:rsid w:val="00D755A8"/>
    <w:rsid w:val="00D75668"/>
    <w:rsid w:val="00D75A17"/>
    <w:rsid w:val="00D761EB"/>
    <w:rsid w:val="00D76662"/>
    <w:rsid w:val="00D770A1"/>
    <w:rsid w:val="00D7733D"/>
    <w:rsid w:val="00D7761C"/>
    <w:rsid w:val="00D77A81"/>
    <w:rsid w:val="00D802E0"/>
    <w:rsid w:val="00D807E3"/>
    <w:rsid w:val="00D80917"/>
    <w:rsid w:val="00D81907"/>
    <w:rsid w:val="00D81CDF"/>
    <w:rsid w:val="00D82789"/>
    <w:rsid w:val="00D83F88"/>
    <w:rsid w:val="00D843C4"/>
    <w:rsid w:val="00D844A3"/>
    <w:rsid w:val="00D845BE"/>
    <w:rsid w:val="00D84963"/>
    <w:rsid w:val="00D85134"/>
    <w:rsid w:val="00D86ADA"/>
    <w:rsid w:val="00D86CEC"/>
    <w:rsid w:val="00D86CFD"/>
    <w:rsid w:val="00D86F35"/>
    <w:rsid w:val="00D87083"/>
    <w:rsid w:val="00D8727E"/>
    <w:rsid w:val="00D874DF"/>
    <w:rsid w:val="00D90B1E"/>
    <w:rsid w:val="00D91158"/>
    <w:rsid w:val="00D913CB"/>
    <w:rsid w:val="00D91BFF"/>
    <w:rsid w:val="00D91C6F"/>
    <w:rsid w:val="00D925FC"/>
    <w:rsid w:val="00D9281D"/>
    <w:rsid w:val="00D93F67"/>
    <w:rsid w:val="00D9415C"/>
    <w:rsid w:val="00D942B0"/>
    <w:rsid w:val="00D94CF6"/>
    <w:rsid w:val="00D95003"/>
    <w:rsid w:val="00D953E3"/>
    <w:rsid w:val="00D958CF"/>
    <w:rsid w:val="00D96322"/>
    <w:rsid w:val="00D96921"/>
    <w:rsid w:val="00D96C93"/>
    <w:rsid w:val="00D96D69"/>
    <w:rsid w:val="00D9716A"/>
    <w:rsid w:val="00D97227"/>
    <w:rsid w:val="00D978CF"/>
    <w:rsid w:val="00D979DE"/>
    <w:rsid w:val="00D97F1B"/>
    <w:rsid w:val="00DA0021"/>
    <w:rsid w:val="00DA08A7"/>
    <w:rsid w:val="00DA11DD"/>
    <w:rsid w:val="00DA1A5F"/>
    <w:rsid w:val="00DA2007"/>
    <w:rsid w:val="00DA2DCC"/>
    <w:rsid w:val="00DA2E99"/>
    <w:rsid w:val="00DA32FA"/>
    <w:rsid w:val="00DA367A"/>
    <w:rsid w:val="00DA384B"/>
    <w:rsid w:val="00DA3CBC"/>
    <w:rsid w:val="00DA46D6"/>
    <w:rsid w:val="00DA4939"/>
    <w:rsid w:val="00DA5158"/>
    <w:rsid w:val="00DA5207"/>
    <w:rsid w:val="00DA53CE"/>
    <w:rsid w:val="00DA587A"/>
    <w:rsid w:val="00DA5D93"/>
    <w:rsid w:val="00DA5DCC"/>
    <w:rsid w:val="00DA64F6"/>
    <w:rsid w:val="00DA6D4F"/>
    <w:rsid w:val="00DA7A14"/>
    <w:rsid w:val="00DB0593"/>
    <w:rsid w:val="00DB0615"/>
    <w:rsid w:val="00DB1019"/>
    <w:rsid w:val="00DB1143"/>
    <w:rsid w:val="00DB1C49"/>
    <w:rsid w:val="00DB1FE7"/>
    <w:rsid w:val="00DB20E1"/>
    <w:rsid w:val="00DB25B6"/>
    <w:rsid w:val="00DB33A0"/>
    <w:rsid w:val="00DB3A47"/>
    <w:rsid w:val="00DB3D25"/>
    <w:rsid w:val="00DB3EC5"/>
    <w:rsid w:val="00DB4030"/>
    <w:rsid w:val="00DB4558"/>
    <w:rsid w:val="00DB4D19"/>
    <w:rsid w:val="00DB557E"/>
    <w:rsid w:val="00DB604C"/>
    <w:rsid w:val="00DB65DC"/>
    <w:rsid w:val="00DB690C"/>
    <w:rsid w:val="00DB69DE"/>
    <w:rsid w:val="00DB6BAE"/>
    <w:rsid w:val="00DB6C58"/>
    <w:rsid w:val="00DB7027"/>
    <w:rsid w:val="00DB7342"/>
    <w:rsid w:val="00DB77EE"/>
    <w:rsid w:val="00DC00BD"/>
    <w:rsid w:val="00DC06DD"/>
    <w:rsid w:val="00DC0AF6"/>
    <w:rsid w:val="00DC11BB"/>
    <w:rsid w:val="00DC12AA"/>
    <w:rsid w:val="00DC1388"/>
    <w:rsid w:val="00DC15AB"/>
    <w:rsid w:val="00DC18B6"/>
    <w:rsid w:val="00DC2324"/>
    <w:rsid w:val="00DC25B3"/>
    <w:rsid w:val="00DC2AA2"/>
    <w:rsid w:val="00DC3275"/>
    <w:rsid w:val="00DC35BC"/>
    <w:rsid w:val="00DC3C42"/>
    <w:rsid w:val="00DC3C52"/>
    <w:rsid w:val="00DC4201"/>
    <w:rsid w:val="00DC4515"/>
    <w:rsid w:val="00DC4853"/>
    <w:rsid w:val="00DC4B5F"/>
    <w:rsid w:val="00DC532C"/>
    <w:rsid w:val="00DC5354"/>
    <w:rsid w:val="00DC5376"/>
    <w:rsid w:val="00DC58DD"/>
    <w:rsid w:val="00DC5EF1"/>
    <w:rsid w:val="00DC5F36"/>
    <w:rsid w:val="00DC670A"/>
    <w:rsid w:val="00DC6777"/>
    <w:rsid w:val="00DC6CA0"/>
    <w:rsid w:val="00DC6D9E"/>
    <w:rsid w:val="00DC76E7"/>
    <w:rsid w:val="00DD1261"/>
    <w:rsid w:val="00DD1493"/>
    <w:rsid w:val="00DD1ADC"/>
    <w:rsid w:val="00DD1E2F"/>
    <w:rsid w:val="00DD212C"/>
    <w:rsid w:val="00DD229E"/>
    <w:rsid w:val="00DD2422"/>
    <w:rsid w:val="00DD299C"/>
    <w:rsid w:val="00DD2E44"/>
    <w:rsid w:val="00DD39DA"/>
    <w:rsid w:val="00DD3A90"/>
    <w:rsid w:val="00DD3D26"/>
    <w:rsid w:val="00DD3DD2"/>
    <w:rsid w:val="00DD511E"/>
    <w:rsid w:val="00DD5161"/>
    <w:rsid w:val="00DD5574"/>
    <w:rsid w:val="00DD55E0"/>
    <w:rsid w:val="00DD56DA"/>
    <w:rsid w:val="00DD5980"/>
    <w:rsid w:val="00DD6B4A"/>
    <w:rsid w:val="00DD6C56"/>
    <w:rsid w:val="00DD7105"/>
    <w:rsid w:val="00DD722E"/>
    <w:rsid w:val="00DD7244"/>
    <w:rsid w:val="00DD735E"/>
    <w:rsid w:val="00DD750D"/>
    <w:rsid w:val="00DD7832"/>
    <w:rsid w:val="00DD79BF"/>
    <w:rsid w:val="00DD7B79"/>
    <w:rsid w:val="00DD7D9A"/>
    <w:rsid w:val="00DE03A2"/>
    <w:rsid w:val="00DE06CA"/>
    <w:rsid w:val="00DE08AA"/>
    <w:rsid w:val="00DE0BED"/>
    <w:rsid w:val="00DE0F7E"/>
    <w:rsid w:val="00DE10B9"/>
    <w:rsid w:val="00DE195E"/>
    <w:rsid w:val="00DE1A27"/>
    <w:rsid w:val="00DE2647"/>
    <w:rsid w:val="00DE2771"/>
    <w:rsid w:val="00DE2BBB"/>
    <w:rsid w:val="00DE2EAF"/>
    <w:rsid w:val="00DE34A6"/>
    <w:rsid w:val="00DE34BF"/>
    <w:rsid w:val="00DE36E7"/>
    <w:rsid w:val="00DE3B10"/>
    <w:rsid w:val="00DE3DBB"/>
    <w:rsid w:val="00DE40A4"/>
    <w:rsid w:val="00DE4830"/>
    <w:rsid w:val="00DE4C4A"/>
    <w:rsid w:val="00DE4CA4"/>
    <w:rsid w:val="00DE5603"/>
    <w:rsid w:val="00DE5B5F"/>
    <w:rsid w:val="00DE5C38"/>
    <w:rsid w:val="00DE607B"/>
    <w:rsid w:val="00DE6119"/>
    <w:rsid w:val="00DE61A7"/>
    <w:rsid w:val="00DE640B"/>
    <w:rsid w:val="00DE693B"/>
    <w:rsid w:val="00DE6D02"/>
    <w:rsid w:val="00DE6EF6"/>
    <w:rsid w:val="00DE72B4"/>
    <w:rsid w:val="00DE7BA3"/>
    <w:rsid w:val="00DE7C30"/>
    <w:rsid w:val="00DF01A9"/>
    <w:rsid w:val="00DF0A91"/>
    <w:rsid w:val="00DF12AE"/>
    <w:rsid w:val="00DF1403"/>
    <w:rsid w:val="00DF146E"/>
    <w:rsid w:val="00DF15B6"/>
    <w:rsid w:val="00DF17B1"/>
    <w:rsid w:val="00DF18B0"/>
    <w:rsid w:val="00DF3476"/>
    <w:rsid w:val="00DF4B44"/>
    <w:rsid w:val="00DF4C40"/>
    <w:rsid w:val="00DF4DB0"/>
    <w:rsid w:val="00DF5345"/>
    <w:rsid w:val="00DF5C4F"/>
    <w:rsid w:val="00DF636A"/>
    <w:rsid w:val="00DF6927"/>
    <w:rsid w:val="00DF7594"/>
    <w:rsid w:val="00DF7EFB"/>
    <w:rsid w:val="00E00326"/>
    <w:rsid w:val="00E010E6"/>
    <w:rsid w:val="00E013DA"/>
    <w:rsid w:val="00E013EA"/>
    <w:rsid w:val="00E0198D"/>
    <w:rsid w:val="00E01B55"/>
    <w:rsid w:val="00E01BAC"/>
    <w:rsid w:val="00E026A2"/>
    <w:rsid w:val="00E031F6"/>
    <w:rsid w:val="00E03CAA"/>
    <w:rsid w:val="00E03E9F"/>
    <w:rsid w:val="00E04605"/>
    <w:rsid w:val="00E04A65"/>
    <w:rsid w:val="00E04F84"/>
    <w:rsid w:val="00E052E0"/>
    <w:rsid w:val="00E053D4"/>
    <w:rsid w:val="00E0541F"/>
    <w:rsid w:val="00E0576C"/>
    <w:rsid w:val="00E05B75"/>
    <w:rsid w:val="00E05CA6"/>
    <w:rsid w:val="00E06068"/>
    <w:rsid w:val="00E0629D"/>
    <w:rsid w:val="00E062E7"/>
    <w:rsid w:val="00E06CD8"/>
    <w:rsid w:val="00E06F3B"/>
    <w:rsid w:val="00E07072"/>
    <w:rsid w:val="00E07294"/>
    <w:rsid w:val="00E07804"/>
    <w:rsid w:val="00E078E0"/>
    <w:rsid w:val="00E10217"/>
    <w:rsid w:val="00E10855"/>
    <w:rsid w:val="00E1100A"/>
    <w:rsid w:val="00E11063"/>
    <w:rsid w:val="00E11407"/>
    <w:rsid w:val="00E114CE"/>
    <w:rsid w:val="00E122CD"/>
    <w:rsid w:val="00E12CC6"/>
    <w:rsid w:val="00E12CCB"/>
    <w:rsid w:val="00E1339C"/>
    <w:rsid w:val="00E13B9F"/>
    <w:rsid w:val="00E14C6D"/>
    <w:rsid w:val="00E1517F"/>
    <w:rsid w:val="00E15C9D"/>
    <w:rsid w:val="00E15FD0"/>
    <w:rsid w:val="00E1700F"/>
    <w:rsid w:val="00E17440"/>
    <w:rsid w:val="00E20463"/>
    <w:rsid w:val="00E205A6"/>
    <w:rsid w:val="00E21700"/>
    <w:rsid w:val="00E21BA1"/>
    <w:rsid w:val="00E21CCE"/>
    <w:rsid w:val="00E22BA7"/>
    <w:rsid w:val="00E22E3F"/>
    <w:rsid w:val="00E23428"/>
    <w:rsid w:val="00E235F6"/>
    <w:rsid w:val="00E23A36"/>
    <w:rsid w:val="00E23ADE"/>
    <w:rsid w:val="00E23D69"/>
    <w:rsid w:val="00E23DBF"/>
    <w:rsid w:val="00E24A06"/>
    <w:rsid w:val="00E2505E"/>
    <w:rsid w:val="00E2519E"/>
    <w:rsid w:val="00E253C1"/>
    <w:rsid w:val="00E253FC"/>
    <w:rsid w:val="00E266A2"/>
    <w:rsid w:val="00E273D8"/>
    <w:rsid w:val="00E27673"/>
    <w:rsid w:val="00E279E2"/>
    <w:rsid w:val="00E27CEA"/>
    <w:rsid w:val="00E27EAD"/>
    <w:rsid w:val="00E27F7A"/>
    <w:rsid w:val="00E303D6"/>
    <w:rsid w:val="00E304F8"/>
    <w:rsid w:val="00E30CB0"/>
    <w:rsid w:val="00E30DC2"/>
    <w:rsid w:val="00E3165F"/>
    <w:rsid w:val="00E31761"/>
    <w:rsid w:val="00E31951"/>
    <w:rsid w:val="00E319EC"/>
    <w:rsid w:val="00E3202B"/>
    <w:rsid w:val="00E323F8"/>
    <w:rsid w:val="00E32867"/>
    <w:rsid w:val="00E32E11"/>
    <w:rsid w:val="00E33C00"/>
    <w:rsid w:val="00E33E36"/>
    <w:rsid w:val="00E341E5"/>
    <w:rsid w:val="00E342FC"/>
    <w:rsid w:val="00E34810"/>
    <w:rsid w:val="00E34AB4"/>
    <w:rsid w:val="00E34CA1"/>
    <w:rsid w:val="00E34D11"/>
    <w:rsid w:val="00E34F77"/>
    <w:rsid w:val="00E353BC"/>
    <w:rsid w:val="00E35A29"/>
    <w:rsid w:val="00E35B68"/>
    <w:rsid w:val="00E364F5"/>
    <w:rsid w:val="00E37672"/>
    <w:rsid w:val="00E37CAC"/>
    <w:rsid w:val="00E407AF"/>
    <w:rsid w:val="00E41902"/>
    <w:rsid w:val="00E41F93"/>
    <w:rsid w:val="00E425C5"/>
    <w:rsid w:val="00E4263F"/>
    <w:rsid w:val="00E426E1"/>
    <w:rsid w:val="00E42A16"/>
    <w:rsid w:val="00E42B10"/>
    <w:rsid w:val="00E434BA"/>
    <w:rsid w:val="00E435B8"/>
    <w:rsid w:val="00E43AF3"/>
    <w:rsid w:val="00E43CC0"/>
    <w:rsid w:val="00E44687"/>
    <w:rsid w:val="00E4469A"/>
    <w:rsid w:val="00E447A3"/>
    <w:rsid w:val="00E44DC6"/>
    <w:rsid w:val="00E44DF1"/>
    <w:rsid w:val="00E45132"/>
    <w:rsid w:val="00E45C30"/>
    <w:rsid w:val="00E45D83"/>
    <w:rsid w:val="00E45DF0"/>
    <w:rsid w:val="00E45E54"/>
    <w:rsid w:val="00E4690E"/>
    <w:rsid w:val="00E46B09"/>
    <w:rsid w:val="00E46BCB"/>
    <w:rsid w:val="00E47085"/>
    <w:rsid w:val="00E47359"/>
    <w:rsid w:val="00E47BFE"/>
    <w:rsid w:val="00E502C8"/>
    <w:rsid w:val="00E50A53"/>
    <w:rsid w:val="00E50F38"/>
    <w:rsid w:val="00E51272"/>
    <w:rsid w:val="00E512A5"/>
    <w:rsid w:val="00E515C5"/>
    <w:rsid w:val="00E51B20"/>
    <w:rsid w:val="00E5320A"/>
    <w:rsid w:val="00E536AD"/>
    <w:rsid w:val="00E53871"/>
    <w:rsid w:val="00E53BF9"/>
    <w:rsid w:val="00E53DC3"/>
    <w:rsid w:val="00E546F6"/>
    <w:rsid w:val="00E54B61"/>
    <w:rsid w:val="00E54BD4"/>
    <w:rsid w:val="00E557DB"/>
    <w:rsid w:val="00E5673E"/>
    <w:rsid w:val="00E567B2"/>
    <w:rsid w:val="00E56F40"/>
    <w:rsid w:val="00E575C6"/>
    <w:rsid w:val="00E57B3B"/>
    <w:rsid w:val="00E60703"/>
    <w:rsid w:val="00E6199B"/>
    <w:rsid w:val="00E6233A"/>
    <w:rsid w:val="00E62792"/>
    <w:rsid w:val="00E63233"/>
    <w:rsid w:val="00E63B38"/>
    <w:rsid w:val="00E6425B"/>
    <w:rsid w:val="00E64320"/>
    <w:rsid w:val="00E64D62"/>
    <w:rsid w:val="00E65A88"/>
    <w:rsid w:val="00E65A8E"/>
    <w:rsid w:val="00E65B08"/>
    <w:rsid w:val="00E66B5C"/>
    <w:rsid w:val="00E70787"/>
    <w:rsid w:val="00E71493"/>
    <w:rsid w:val="00E72048"/>
    <w:rsid w:val="00E72271"/>
    <w:rsid w:val="00E7260C"/>
    <w:rsid w:val="00E73234"/>
    <w:rsid w:val="00E7342F"/>
    <w:rsid w:val="00E73C4D"/>
    <w:rsid w:val="00E73D4E"/>
    <w:rsid w:val="00E73DAE"/>
    <w:rsid w:val="00E74116"/>
    <w:rsid w:val="00E7414A"/>
    <w:rsid w:val="00E74E22"/>
    <w:rsid w:val="00E75201"/>
    <w:rsid w:val="00E752D8"/>
    <w:rsid w:val="00E754C1"/>
    <w:rsid w:val="00E7590C"/>
    <w:rsid w:val="00E75D5E"/>
    <w:rsid w:val="00E76168"/>
    <w:rsid w:val="00E762EF"/>
    <w:rsid w:val="00E763DB"/>
    <w:rsid w:val="00E76B50"/>
    <w:rsid w:val="00E77119"/>
    <w:rsid w:val="00E77127"/>
    <w:rsid w:val="00E77749"/>
    <w:rsid w:val="00E77ADF"/>
    <w:rsid w:val="00E77AEB"/>
    <w:rsid w:val="00E77B4B"/>
    <w:rsid w:val="00E80035"/>
    <w:rsid w:val="00E80702"/>
    <w:rsid w:val="00E80AE0"/>
    <w:rsid w:val="00E8131F"/>
    <w:rsid w:val="00E826C8"/>
    <w:rsid w:val="00E82931"/>
    <w:rsid w:val="00E8311B"/>
    <w:rsid w:val="00E83CFA"/>
    <w:rsid w:val="00E83D51"/>
    <w:rsid w:val="00E83E2C"/>
    <w:rsid w:val="00E83F86"/>
    <w:rsid w:val="00E840E5"/>
    <w:rsid w:val="00E85307"/>
    <w:rsid w:val="00E85C2C"/>
    <w:rsid w:val="00E863BF"/>
    <w:rsid w:val="00E86740"/>
    <w:rsid w:val="00E8713A"/>
    <w:rsid w:val="00E87878"/>
    <w:rsid w:val="00E9088E"/>
    <w:rsid w:val="00E90CDD"/>
    <w:rsid w:val="00E91030"/>
    <w:rsid w:val="00E9168C"/>
    <w:rsid w:val="00E91736"/>
    <w:rsid w:val="00E918F5"/>
    <w:rsid w:val="00E923B1"/>
    <w:rsid w:val="00E923C3"/>
    <w:rsid w:val="00E9284F"/>
    <w:rsid w:val="00E9376D"/>
    <w:rsid w:val="00E93777"/>
    <w:rsid w:val="00E93D8A"/>
    <w:rsid w:val="00E9412C"/>
    <w:rsid w:val="00E946A6"/>
    <w:rsid w:val="00E947AC"/>
    <w:rsid w:val="00E95565"/>
    <w:rsid w:val="00E956E7"/>
    <w:rsid w:val="00E957C2"/>
    <w:rsid w:val="00E95D48"/>
    <w:rsid w:val="00E96895"/>
    <w:rsid w:val="00E96C15"/>
    <w:rsid w:val="00E97173"/>
    <w:rsid w:val="00E97203"/>
    <w:rsid w:val="00E975FD"/>
    <w:rsid w:val="00E97783"/>
    <w:rsid w:val="00E97AC6"/>
    <w:rsid w:val="00E97BBA"/>
    <w:rsid w:val="00EA0CC3"/>
    <w:rsid w:val="00EA0F1A"/>
    <w:rsid w:val="00EA1525"/>
    <w:rsid w:val="00EA1B4A"/>
    <w:rsid w:val="00EA1B9C"/>
    <w:rsid w:val="00EA1C54"/>
    <w:rsid w:val="00EA1D43"/>
    <w:rsid w:val="00EA2034"/>
    <w:rsid w:val="00EA40BC"/>
    <w:rsid w:val="00EA41BF"/>
    <w:rsid w:val="00EA4BDE"/>
    <w:rsid w:val="00EA5EEE"/>
    <w:rsid w:val="00EA61F9"/>
    <w:rsid w:val="00EA63BB"/>
    <w:rsid w:val="00EA63DB"/>
    <w:rsid w:val="00EA67B5"/>
    <w:rsid w:val="00EA6EEB"/>
    <w:rsid w:val="00EA7120"/>
    <w:rsid w:val="00EA7392"/>
    <w:rsid w:val="00EA74B5"/>
    <w:rsid w:val="00EA76EB"/>
    <w:rsid w:val="00EA7931"/>
    <w:rsid w:val="00EA7C0E"/>
    <w:rsid w:val="00EB0663"/>
    <w:rsid w:val="00EB066B"/>
    <w:rsid w:val="00EB1771"/>
    <w:rsid w:val="00EB260D"/>
    <w:rsid w:val="00EB2E6F"/>
    <w:rsid w:val="00EB3081"/>
    <w:rsid w:val="00EB312B"/>
    <w:rsid w:val="00EB31E5"/>
    <w:rsid w:val="00EB3961"/>
    <w:rsid w:val="00EB3E64"/>
    <w:rsid w:val="00EB466D"/>
    <w:rsid w:val="00EB4C33"/>
    <w:rsid w:val="00EB5379"/>
    <w:rsid w:val="00EB58AE"/>
    <w:rsid w:val="00EB5AB8"/>
    <w:rsid w:val="00EB6F57"/>
    <w:rsid w:val="00EB7EFC"/>
    <w:rsid w:val="00EC03B1"/>
    <w:rsid w:val="00EC15AC"/>
    <w:rsid w:val="00EC16CE"/>
    <w:rsid w:val="00EC1B91"/>
    <w:rsid w:val="00EC21F1"/>
    <w:rsid w:val="00EC2379"/>
    <w:rsid w:val="00EC2F7E"/>
    <w:rsid w:val="00EC3678"/>
    <w:rsid w:val="00EC3A6B"/>
    <w:rsid w:val="00EC3EE9"/>
    <w:rsid w:val="00EC3F98"/>
    <w:rsid w:val="00EC4287"/>
    <w:rsid w:val="00EC42DB"/>
    <w:rsid w:val="00EC4424"/>
    <w:rsid w:val="00EC5584"/>
    <w:rsid w:val="00EC6046"/>
    <w:rsid w:val="00EC612B"/>
    <w:rsid w:val="00EC627F"/>
    <w:rsid w:val="00EC6B1F"/>
    <w:rsid w:val="00EC6ED8"/>
    <w:rsid w:val="00EC7074"/>
    <w:rsid w:val="00EC7262"/>
    <w:rsid w:val="00EC74A5"/>
    <w:rsid w:val="00EC7961"/>
    <w:rsid w:val="00ED03E5"/>
    <w:rsid w:val="00ED07DD"/>
    <w:rsid w:val="00ED0DE2"/>
    <w:rsid w:val="00ED1BBB"/>
    <w:rsid w:val="00ED2052"/>
    <w:rsid w:val="00ED205B"/>
    <w:rsid w:val="00ED26A6"/>
    <w:rsid w:val="00ED3121"/>
    <w:rsid w:val="00ED335E"/>
    <w:rsid w:val="00ED3557"/>
    <w:rsid w:val="00ED3B54"/>
    <w:rsid w:val="00ED3E02"/>
    <w:rsid w:val="00ED43C1"/>
    <w:rsid w:val="00ED486B"/>
    <w:rsid w:val="00ED4974"/>
    <w:rsid w:val="00ED5101"/>
    <w:rsid w:val="00ED5120"/>
    <w:rsid w:val="00ED64AE"/>
    <w:rsid w:val="00ED6AD6"/>
    <w:rsid w:val="00ED6EBB"/>
    <w:rsid w:val="00ED7184"/>
    <w:rsid w:val="00ED7B5C"/>
    <w:rsid w:val="00ED7F2E"/>
    <w:rsid w:val="00EE0059"/>
    <w:rsid w:val="00EE0567"/>
    <w:rsid w:val="00EE06F8"/>
    <w:rsid w:val="00EE0E50"/>
    <w:rsid w:val="00EE130C"/>
    <w:rsid w:val="00EE1802"/>
    <w:rsid w:val="00EE1FCF"/>
    <w:rsid w:val="00EE29CE"/>
    <w:rsid w:val="00EE3726"/>
    <w:rsid w:val="00EE3AD6"/>
    <w:rsid w:val="00EE3EE0"/>
    <w:rsid w:val="00EE43B9"/>
    <w:rsid w:val="00EE4427"/>
    <w:rsid w:val="00EE477D"/>
    <w:rsid w:val="00EE4858"/>
    <w:rsid w:val="00EE4A29"/>
    <w:rsid w:val="00EE4B7F"/>
    <w:rsid w:val="00EE5199"/>
    <w:rsid w:val="00EE52F2"/>
    <w:rsid w:val="00EE6194"/>
    <w:rsid w:val="00EE63E6"/>
    <w:rsid w:val="00EE65A8"/>
    <w:rsid w:val="00EE65CF"/>
    <w:rsid w:val="00EE69A6"/>
    <w:rsid w:val="00EE6D28"/>
    <w:rsid w:val="00EE70D1"/>
    <w:rsid w:val="00EE76A9"/>
    <w:rsid w:val="00EE7F43"/>
    <w:rsid w:val="00EE7FA7"/>
    <w:rsid w:val="00EF0E47"/>
    <w:rsid w:val="00EF13A6"/>
    <w:rsid w:val="00EF1FF3"/>
    <w:rsid w:val="00EF21A6"/>
    <w:rsid w:val="00EF21C3"/>
    <w:rsid w:val="00EF25CA"/>
    <w:rsid w:val="00EF3183"/>
    <w:rsid w:val="00EF3446"/>
    <w:rsid w:val="00EF3955"/>
    <w:rsid w:val="00EF396B"/>
    <w:rsid w:val="00EF3D89"/>
    <w:rsid w:val="00EF4A7A"/>
    <w:rsid w:val="00EF4AE0"/>
    <w:rsid w:val="00EF4B59"/>
    <w:rsid w:val="00EF4C5F"/>
    <w:rsid w:val="00EF4FB3"/>
    <w:rsid w:val="00EF5166"/>
    <w:rsid w:val="00EF5A32"/>
    <w:rsid w:val="00EF5E14"/>
    <w:rsid w:val="00EF6954"/>
    <w:rsid w:val="00EF7275"/>
    <w:rsid w:val="00EF7554"/>
    <w:rsid w:val="00EF780A"/>
    <w:rsid w:val="00EF7968"/>
    <w:rsid w:val="00EF7AAE"/>
    <w:rsid w:val="00F00B7D"/>
    <w:rsid w:val="00F00E67"/>
    <w:rsid w:val="00F01450"/>
    <w:rsid w:val="00F01649"/>
    <w:rsid w:val="00F020E3"/>
    <w:rsid w:val="00F0216A"/>
    <w:rsid w:val="00F022AE"/>
    <w:rsid w:val="00F0290D"/>
    <w:rsid w:val="00F0300B"/>
    <w:rsid w:val="00F03345"/>
    <w:rsid w:val="00F033AA"/>
    <w:rsid w:val="00F03D5B"/>
    <w:rsid w:val="00F04594"/>
    <w:rsid w:val="00F045A5"/>
    <w:rsid w:val="00F0534F"/>
    <w:rsid w:val="00F0538C"/>
    <w:rsid w:val="00F05D4F"/>
    <w:rsid w:val="00F05DC8"/>
    <w:rsid w:val="00F05E6C"/>
    <w:rsid w:val="00F063D8"/>
    <w:rsid w:val="00F06D95"/>
    <w:rsid w:val="00F075CB"/>
    <w:rsid w:val="00F078D6"/>
    <w:rsid w:val="00F07A15"/>
    <w:rsid w:val="00F07E88"/>
    <w:rsid w:val="00F07FD1"/>
    <w:rsid w:val="00F10C10"/>
    <w:rsid w:val="00F10E24"/>
    <w:rsid w:val="00F116B8"/>
    <w:rsid w:val="00F11A01"/>
    <w:rsid w:val="00F11A5E"/>
    <w:rsid w:val="00F13A4C"/>
    <w:rsid w:val="00F1416E"/>
    <w:rsid w:val="00F141B0"/>
    <w:rsid w:val="00F15010"/>
    <w:rsid w:val="00F15CAA"/>
    <w:rsid w:val="00F163D4"/>
    <w:rsid w:val="00F16584"/>
    <w:rsid w:val="00F165E1"/>
    <w:rsid w:val="00F16BAF"/>
    <w:rsid w:val="00F16BC7"/>
    <w:rsid w:val="00F16FE2"/>
    <w:rsid w:val="00F17867"/>
    <w:rsid w:val="00F17F7A"/>
    <w:rsid w:val="00F17FA5"/>
    <w:rsid w:val="00F2021F"/>
    <w:rsid w:val="00F2026D"/>
    <w:rsid w:val="00F205F3"/>
    <w:rsid w:val="00F2086F"/>
    <w:rsid w:val="00F2298E"/>
    <w:rsid w:val="00F22CE0"/>
    <w:rsid w:val="00F2309C"/>
    <w:rsid w:val="00F235EC"/>
    <w:rsid w:val="00F23DD7"/>
    <w:rsid w:val="00F23E3E"/>
    <w:rsid w:val="00F24BF2"/>
    <w:rsid w:val="00F24E64"/>
    <w:rsid w:val="00F24F39"/>
    <w:rsid w:val="00F25EE1"/>
    <w:rsid w:val="00F26042"/>
    <w:rsid w:val="00F26740"/>
    <w:rsid w:val="00F267F2"/>
    <w:rsid w:val="00F26C30"/>
    <w:rsid w:val="00F27116"/>
    <w:rsid w:val="00F27387"/>
    <w:rsid w:val="00F30EC1"/>
    <w:rsid w:val="00F31043"/>
    <w:rsid w:val="00F318A4"/>
    <w:rsid w:val="00F319DA"/>
    <w:rsid w:val="00F31DAB"/>
    <w:rsid w:val="00F31ED7"/>
    <w:rsid w:val="00F32741"/>
    <w:rsid w:val="00F327D0"/>
    <w:rsid w:val="00F32935"/>
    <w:rsid w:val="00F32BD8"/>
    <w:rsid w:val="00F3309D"/>
    <w:rsid w:val="00F3317A"/>
    <w:rsid w:val="00F341A2"/>
    <w:rsid w:val="00F3469A"/>
    <w:rsid w:val="00F35344"/>
    <w:rsid w:val="00F35E15"/>
    <w:rsid w:val="00F36553"/>
    <w:rsid w:val="00F367B3"/>
    <w:rsid w:val="00F36CE6"/>
    <w:rsid w:val="00F3735B"/>
    <w:rsid w:val="00F377F4"/>
    <w:rsid w:val="00F4019A"/>
    <w:rsid w:val="00F403A6"/>
    <w:rsid w:val="00F42022"/>
    <w:rsid w:val="00F42083"/>
    <w:rsid w:val="00F42BE4"/>
    <w:rsid w:val="00F43148"/>
    <w:rsid w:val="00F43FE6"/>
    <w:rsid w:val="00F44085"/>
    <w:rsid w:val="00F44191"/>
    <w:rsid w:val="00F44613"/>
    <w:rsid w:val="00F44BE7"/>
    <w:rsid w:val="00F44CCA"/>
    <w:rsid w:val="00F4537E"/>
    <w:rsid w:val="00F45BE2"/>
    <w:rsid w:val="00F466A4"/>
    <w:rsid w:val="00F4677D"/>
    <w:rsid w:val="00F467DA"/>
    <w:rsid w:val="00F47417"/>
    <w:rsid w:val="00F47447"/>
    <w:rsid w:val="00F47A77"/>
    <w:rsid w:val="00F47B6D"/>
    <w:rsid w:val="00F501B4"/>
    <w:rsid w:val="00F5087B"/>
    <w:rsid w:val="00F515C5"/>
    <w:rsid w:val="00F522DE"/>
    <w:rsid w:val="00F528A4"/>
    <w:rsid w:val="00F52EF8"/>
    <w:rsid w:val="00F53257"/>
    <w:rsid w:val="00F532E8"/>
    <w:rsid w:val="00F53496"/>
    <w:rsid w:val="00F53DE4"/>
    <w:rsid w:val="00F545B3"/>
    <w:rsid w:val="00F54833"/>
    <w:rsid w:val="00F54C19"/>
    <w:rsid w:val="00F5599E"/>
    <w:rsid w:val="00F55FFC"/>
    <w:rsid w:val="00F5659F"/>
    <w:rsid w:val="00F56DE1"/>
    <w:rsid w:val="00F56F62"/>
    <w:rsid w:val="00F5773D"/>
    <w:rsid w:val="00F579F2"/>
    <w:rsid w:val="00F60083"/>
    <w:rsid w:val="00F60450"/>
    <w:rsid w:val="00F60C97"/>
    <w:rsid w:val="00F60DC5"/>
    <w:rsid w:val="00F60FA2"/>
    <w:rsid w:val="00F60FF3"/>
    <w:rsid w:val="00F61300"/>
    <w:rsid w:val="00F6133C"/>
    <w:rsid w:val="00F613D1"/>
    <w:rsid w:val="00F61491"/>
    <w:rsid w:val="00F63CB1"/>
    <w:rsid w:val="00F66A57"/>
    <w:rsid w:val="00F66E7E"/>
    <w:rsid w:val="00F672DE"/>
    <w:rsid w:val="00F67391"/>
    <w:rsid w:val="00F67D28"/>
    <w:rsid w:val="00F7075E"/>
    <w:rsid w:val="00F7115A"/>
    <w:rsid w:val="00F71248"/>
    <w:rsid w:val="00F71595"/>
    <w:rsid w:val="00F71F52"/>
    <w:rsid w:val="00F72047"/>
    <w:rsid w:val="00F72127"/>
    <w:rsid w:val="00F7241F"/>
    <w:rsid w:val="00F72EAE"/>
    <w:rsid w:val="00F73589"/>
    <w:rsid w:val="00F738F1"/>
    <w:rsid w:val="00F74184"/>
    <w:rsid w:val="00F742E4"/>
    <w:rsid w:val="00F74849"/>
    <w:rsid w:val="00F749BB"/>
    <w:rsid w:val="00F749C4"/>
    <w:rsid w:val="00F749CE"/>
    <w:rsid w:val="00F74A77"/>
    <w:rsid w:val="00F74E83"/>
    <w:rsid w:val="00F75647"/>
    <w:rsid w:val="00F7670E"/>
    <w:rsid w:val="00F76E97"/>
    <w:rsid w:val="00F77615"/>
    <w:rsid w:val="00F7766A"/>
    <w:rsid w:val="00F776C4"/>
    <w:rsid w:val="00F77957"/>
    <w:rsid w:val="00F77D99"/>
    <w:rsid w:val="00F80227"/>
    <w:rsid w:val="00F80298"/>
    <w:rsid w:val="00F8031C"/>
    <w:rsid w:val="00F8039C"/>
    <w:rsid w:val="00F808C4"/>
    <w:rsid w:val="00F809CE"/>
    <w:rsid w:val="00F8117A"/>
    <w:rsid w:val="00F81831"/>
    <w:rsid w:val="00F81A41"/>
    <w:rsid w:val="00F81BA7"/>
    <w:rsid w:val="00F8297B"/>
    <w:rsid w:val="00F82E26"/>
    <w:rsid w:val="00F8356A"/>
    <w:rsid w:val="00F83BCD"/>
    <w:rsid w:val="00F83E42"/>
    <w:rsid w:val="00F8449B"/>
    <w:rsid w:val="00F84626"/>
    <w:rsid w:val="00F8514B"/>
    <w:rsid w:val="00F85516"/>
    <w:rsid w:val="00F85D7B"/>
    <w:rsid w:val="00F85FD9"/>
    <w:rsid w:val="00F86403"/>
    <w:rsid w:val="00F864A4"/>
    <w:rsid w:val="00F86A45"/>
    <w:rsid w:val="00F873B8"/>
    <w:rsid w:val="00F873F6"/>
    <w:rsid w:val="00F87B44"/>
    <w:rsid w:val="00F87FEA"/>
    <w:rsid w:val="00F90B6D"/>
    <w:rsid w:val="00F91116"/>
    <w:rsid w:val="00F91132"/>
    <w:rsid w:val="00F912A4"/>
    <w:rsid w:val="00F9159A"/>
    <w:rsid w:val="00F91EA2"/>
    <w:rsid w:val="00F921FB"/>
    <w:rsid w:val="00F922F9"/>
    <w:rsid w:val="00F9252C"/>
    <w:rsid w:val="00F92C83"/>
    <w:rsid w:val="00F93312"/>
    <w:rsid w:val="00F935C2"/>
    <w:rsid w:val="00F93B77"/>
    <w:rsid w:val="00F940AB"/>
    <w:rsid w:val="00F94182"/>
    <w:rsid w:val="00F942CB"/>
    <w:rsid w:val="00F9455D"/>
    <w:rsid w:val="00F9488D"/>
    <w:rsid w:val="00F965F5"/>
    <w:rsid w:val="00F96CD3"/>
    <w:rsid w:val="00F9739E"/>
    <w:rsid w:val="00F975DD"/>
    <w:rsid w:val="00F979CE"/>
    <w:rsid w:val="00F97A7F"/>
    <w:rsid w:val="00F97D19"/>
    <w:rsid w:val="00F97D71"/>
    <w:rsid w:val="00FA0518"/>
    <w:rsid w:val="00FA0671"/>
    <w:rsid w:val="00FA09EB"/>
    <w:rsid w:val="00FA189C"/>
    <w:rsid w:val="00FA1C03"/>
    <w:rsid w:val="00FA1D81"/>
    <w:rsid w:val="00FA205A"/>
    <w:rsid w:val="00FA2FE9"/>
    <w:rsid w:val="00FA300E"/>
    <w:rsid w:val="00FA3196"/>
    <w:rsid w:val="00FA336F"/>
    <w:rsid w:val="00FA39A9"/>
    <w:rsid w:val="00FA41EC"/>
    <w:rsid w:val="00FA41F3"/>
    <w:rsid w:val="00FA42B0"/>
    <w:rsid w:val="00FA52C2"/>
    <w:rsid w:val="00FA5561"/>
    <w:rsid w:val="00FA56A9"/>
    <w:rsid w:val="00FA5B3E"/>
    <w:rsid w:val="00FA5E8F"/>
    <w:rsid w:val="00FA6229"/>
    <w:rsid w:val="00FA63A0"/>
    <w:rsid w:val="00FA65B1"/>
    <w:rsid w:val="00FA6D4B"/>
    <w:rsid w:val="00FA6E7F"/>
    <w:rsid w:val="00FA7028"/>
    <w:rsid w:val="00FA7114"/>
    <w:rsid w:val="00FA732D"/>
    <w:rsid w:val="00FB037B"/>
    <w:rsid w:val="00FB171C"/>
    <w:rsid w:val="00FB1729"/>
    <w:rsid w:val="00FB1889"/>
    <w:rsid w:val="00FB1C7D"/>
    <w:rsid w:val="00FB2379"/>
    <w:rsid w:val="00FB25BA"/>
    <w:rsid w:val="00FB26DC"/>
    <w:rsid w:val="00FB2750"/>
    <w:rsid w:val="00FB2B03"/>
    <w:rsid w:val="00FB3E29"/>
    <w:rsid w:val="00FB4D13"/>
    <w:rsid w:val="00FB4FEE"/>
    <w:rsid w:val="00FB5D2A"/>
    <w:rsid w:val="00FB5F8E"/>
    <w:rsid w:val="00FB74AF"/>
    <w:rsid w:val="00FB7690"/>
    <w:rsid w:val="00FB7E32"/>
    <w:rsid w:val="00FC0569"/>
    <w:rsid w:val="00FC08FD"/>
    <w:rsid w:val="00FC0930"/>
    <w:rsid w:val="00FC0CEC"/>
    <w:rsid w:val="00FC0D8D"/>
    <w:rsid w:val="00FC0E1E"/>
    <w:rsid w:val="00FC0F10"/>
    <w:rsid w:val="00FC1ACC"/>
    <w:rsid w:val="00FC2838"/>
    <w:rsid w:val="00FC2CCC"/>
    <w:rsid w:val="00FC3937"/>
    <w:rsid w:val="00FC3AEE"/>
    <w:rsid w:val="00FC3BEC"/>
    <w:rsid w:val="00FC3D7D"/>
    <w:rsid w:val="00FC3E0D"/>
    <w:rsid w:val="00FC45D1"/>
    <w:rsid w:val="00FC512A"/>
    <w:rsid w:val="00FC59C4"/>
    <w:rsid w:val="00FC5CEA"/>
    <w:rsid w:val="00FC6451"/>
    <w:rsid w:val="00FC6B4B"/>
    <w:rsid w:val="00FC6BBC"/>
    <w:rsid w:val="00FC6D9C"/>
    <w:rsid w:val="00FC7D22"/>
    <w:rsid w:val="00FC7E19"/>
    <w:rsid w:val="00FD00C5"/>
    <w:rsid w:val="00FD0D82"/>
    <w:rsid w:val="00FD1CA2"/>
    <w:rsid w:val="00FD2560"/>
    <w:rsid w:val="00FD294C"/>
    <w:rsid w:val="00FD3710"/>
    <w:rsid w:val="00FD3D0B"/>
    <w:rsid w:val="00FD3DB9"/>
    <w:rsid w:val="00FD409B"/>
    <w:rsid w:val="00FD40FB"/>
    <w:rsid w:val="00FD474C"/>
    <w:rsid w:val="00FD4898"/>
    <w:rsid w:val="00FD4C05"/>
    <w:rsid w:val="00FD4DD7"/>
    <w:rsid w:val="00FD51AF"/>
    <w:rsid w:val="00FD54F5"/>
    <w:rsid w:val="00FD55AF"/>
    <w:rsid w:val="00FD5654"/>
    <w:rsid w:val="00FD5A2C"/>
    <w:rsid w:val="00FD5B72"/>
    <w:rsid w:val="00FD5D7B"/>
    <w:rsid w:val="00FD6678"/>
    <w:rsid w:val="00FD68D8"/>
    <w:rsid w:val="00FD6D00"/>
    <w:rsid w:val="00FD74AF"/>
    <w:rsid w:val="00FD7A37"/>
    <w:rsid w:val="00FD7B0A"/>
    <w:rsid w:val="00FD7DDF"/>
    <w:rsid w:val="00FD7F6B"/>
    <w:rsid w:val="00FE002E"/>
    <w:rsid w:val="00FE05FD"/>
    <w:rsid w:val="00FE097C"/>
    <w:rsid w:val="00FE1315"/>
    <w:rsid w:val="00FE135F"/>
    <w:rsid w:val="00FE16BC"/>
    <w:rsid w:val="00FE1D65"/>
    <w:rsid w:val="00FE2249"/>
    <w:rsid w:val="00FE23D7"/>
    <w:rsid w:val="00FE367B"/>
    <w:rsid w:val="00FE3DFD"/>
    <w:rsid w:val="00FE3E3E"/>
    <w:rsid w:val="00FE4659"/>
    <w:rsid w:val="00FE493D"/>
    <w:rsid w:val="00FE4A1E"/>
    <w:rsid w:val="00FE4DBB"/>
    <w:rsid w:val="00FE536D"/>
    <w:rsid w:val="00FE550E"/>
    <w:rsid w:val="00FE5AD3"/>
    <w:rsid w:val="00FE5B8E"/>
    <w:rsid w:val="00FE5FC3"/>
    <w:rsid w:val="00FE64D6"/>
    <w:rsid w:val="00FE6BA8"/>
    <w:rsid w:val="00FE6E71"/>
    <w:rsid w:val="00FE71F6"/>
    <w:rsid w:val="00FE7444"/>
    <w:rsid w:val="00FE7850"/>
    <w:rsid w:val="00FF0224"/>
    <w:rsid w:val="00FF0842"/>
    <w:rsid w:val="00FF10E5"/>
    <w:rsid w:val="00FF16F2"/>
    <w:rsid w:val="00FF1A3D"/>
    <w:rsid w:val="00FF230C"/>
    <w:rsid w:val="00FF24A1"/>
    <w:rsid w:val="00FF2A06"/>
    <w:rsid w:val="00FF2A12"/>
    <w:rsid w:val="00FF2C67"/>
    <w:rsid w:val="00FF2C94"/>
    <w:rsid w:val="00FF2F38"/>
    <w:rsid w:val="00FF3149"/>
    <w:rsid w:val="00FF3D60"/>
    <w:rsid w:val="00FF3E82"/>
    <w:rsid w:val="00FF4445"/>
    <w:rsid w:val="00FF507B"/>
    <w:rsid w:val="00FF6A63"/>
    <w:rsid w:val="00FF6EB8"/>
    <w:rsid w:val="00FF73FC"/>
    <w:rsid w:val="00FF7743"/>
    <w:rsid w:val="00FF7A1A"/>
    <w:rsid w:val="00FF7C36"/>
    <w:rsid w:val="00FF7F5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5537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86083"/>
    <w:pPr>
      <w:spacing w:after="160" w:line="259" w:lineRule="auto"/>
    </w:pPr>
    <w:rPr>
      <w:rFonts w:asciiTheme="minorHAnsi" w:eastAsiaTheme="minorEastAsia" w:hAnsiTheme="minorHAnsi" w:cstheme="minorBidi"/>
      <w:sz w:val="22"/>
      <w:szCs w:val="22"/>
    </w:rPr>
  </w:style>
  <w:style w:type="paragraph" w:styleId="1">
    <w:name w:val="heading 1"/>
    <w:aliases w:val="H1,h1,Heading 1 3GPP"/>
    <w:next w:val="a"/>
    <w:link w:val="10"/>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786083"/>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786083"/>
  </w:style>
  <w:style w:type="paragraph" w:customStyle="1" w:styleId="H6">
    <w:name w:val="H6"/>
    <w:basedOn w:val="5"/>
    <w:next w:val="a"/>
    <w:rsid w:val="00DB3A47"/>
    <w:pPr>
      <w:ind w:left="1985" w:hanging="1985"/>
      <w:outlineLvl w:val="9"/>
    </w:pPr>
    <w:rPr>
      <w:sz w:val="20"/>
    </w:rPr>
  </w:style>
  <w:style w:type="paragraph" w:styleId="80">
    <w:name w:val="toc 8"/>
    <w:basedOn w:val="11"/>
    <w:semiHidden/>
    <w:rsid w:val="00DB3A47"/>
    <w:pPr>
      <w:spacing w:before="180"/>
      <w:ind w:left="2693" w:hanging="2693"/>
    </w:pPr>
    <w:rPr>
      <w:b/>
    </w:rPr>
  </w:style>
  <w:style w:type="paragraph" w:styleId="1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1"/>
    <w:semiHidden/>
    <w:rsid w:val="00DB3A47"/>
    <w:pPr>
      <w:keepNext w:val="0"/>
      <w:spacing w:before="0"/>
      <w:ind w:left="851" w:hanging="851"/>
    </w:pPr>
    <w:rPr>
      <w:sz w:val="20"/>
    </w:rPr>
  </w:style>
  <w:style w:type="paragraph" w:styleId="21">
    <w:name w:val="index 2"/>
    <w:basedOn w:val="12"/>
    <w:semiHidden/>
    <w:rsid w:val="00DB3A47"/>
    <w:pPr>
      <w:ind w:left="284"/>
    </w:pPr>
  </w:style>
  <w:style w:type="paragraph" w:styleId="12">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style>
  <w:style w:type="paragraph" w:customStyle="1" w:styleId="TAL">
    <w:name w:val="TAL"/>
    <w:basedOn w:val="a"/>
    <w:link w:val="TALChar"/>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rsid w:val="00DB3A47"/>
    <w:pPr>
      <w:keepNext/>
      <w:keepLines/>
      <w:spacing w:before="60"/>
      <w:jc w:val="center"/>
    </w:pPr>
    <w:rPr>
      <w:rFonts w:ascii="Arial" w:hAnsi="Arial"/>
      <w:b/>
    </w:rPr>
  </w:style>
  <w:style w:type="paragraph" w:customStyle="1" w:styleId="NO">
    <w:name w:val="NO"/>
    <w:basedOn w:val="a"/>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basedOn w:val="NO"/>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rsid w:val="00DB3A47"/>
  </w:style>
  <w:style w:type="paragraph" w:customStyle="1" w:styleId="B2">
    <w:name w:val="B2"/>
    <w:basedOn w:val="24"/>
    <w:rsid w:val="00DB3A47"/>
  </w:style>
  <w:style w:type="paragraph" w:customStyle="1" w:styleId="B3">
    <w:name w:val="B3"/>
    <w:basedOn w:val="32"/>
    <w:rsid w:val="00DB3A47"/>
  </w:style>
  <w:style w:type="paragraph" w:customStyle="1" w:styleId="B4">
    <w:name w:val="B4"/>
    <w:basedOn w:val="41"/>
    <w:rsid w:val="00DB3A47"/>
  </w:style>
  <w:style w:type="paragraph" w:customStyle="1" w:styleId="B5">
    <w:name w:val="B5"/>
    <w:basedOn w:val="51"/>
    <w:rsid w:val="00DB3A47"/>
  </w:style>
  <w:style w:type="paragraph" w:styleId="aa">
    <w:name w:val="footer"/>
    <w:basedOn w:val="a5"/>
    <w:link w:val="ab"/>
    <w:uiPriority w:val="99"/>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rsid w:val="00DB3A47"/>
    <w:pPr>
      <w:spacing w:after="120"/>
    </w:pPr>
    <w:rPr>
      <w:rFonts w:ascii="Arial" w:eastAsia="MS Mincho" w:hAnsi="Arial"/>
      <w:lang w:val="en-GB" w:eastAsia="en-US"/>
    </w:rPr>
  </w:style>
  <w:style w:type="character" w:styleId="ac">
    <w:name w:val="annotation reference"/>
    <w:semiHidden/>
    <w:rsid w:val="00DB3A47"/>
    <w:rPr>
      <w:sz w:val="16"/>
    </w:rPr>
  </w:style>
  <w:style w:type="paragraph" w:styleId="ad">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basedOn w:val="a"/>
    <w:rsid w:val="00DB3A47"/>
    <w:pPr>
      <w:spacing w:after="220"/>
      <w:ind w:left="1298"/>
    </w:pPr>
    <w:rPr>
      <w:rFonts w:ascii="Arial" w:hAnsi="Arial"/>
    </w:rPr>
  </w:style>
  <w:style w:type="paragraph" w:customStyle="1" w:styleId="B6">
    <w:name w:val="B6"/>
    <w:basedOn w:val="B5"/>
    <w:rsid w:val="00DB3A47"/>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d"/>
    <w:next w:val="ad"/>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题注,Ca,cap1,cap2,cap11,Légende-figure,Légende-figure Char,Beschrifubg,Beschriftung Char,label,cap11 Char Char Char,captions,Beschriftung Char Char"/>
    <w:basedOn w:val="a"/>
    <w:next w:val="a"/>
    <w:link w:val="af3"/>
    <w:qFormat/>
    <w:rsid w:val="00DB3A47"/>
    <w:pPr>
      <w:spacing w:before="120" w:after="120"/>
    </w:pPr>
    <w:rPr>
      <w:rFonts w:eastAsia="SimSun"/>
      <w:b/>
      <w:sz w:val="20"/>
      <w:szCs w:val="20"/>
    </w:rPr>
  </w:style>
  <w:style w:type="character" w:customStyle="1" w:styleId="af3">
    <w:name w:val="標號 字元"/>
    <w:aliases w:val="cap 字元,cap Char 字元,Caption Char 字元,Caption Char1 Char 字元,cap Char Char1 字元,Caption Char Char1 Char 字元,cap Char2 字元,题注 字元,Ca 字元,cap1 字元,cap2 字元,cap11 字元,Légende-figure 字元,Légende-figure Char 字元,Beschrifubg 字元,Beschriftung Char 字元,label 字元"/>
    <w:link w:val="af2"/>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4">
    <w:name w:val="FollowedHyperlink"/>
    <w:rsid w:val="00BB6ACC"/>
    <w:rPr>
      <w:color w:val="800080"/>
      <w:u w:val="single"/>
    </w:rPr>
  </w:style>
  <w:style w:type="character" w:customStyle="1" w:styleId="apple-style-span">
    <w:name w:val="apple-style-span"/>
    <w:basedOn w:val="a0"/>
    <w:rsid w:val="00BB6ACC"/>
  </w:style>
  <w:style w:type="paragraph" w:styleId="af5">
    <w:name w:val="Revision"/>
    <w:hidden/>
    <w:uiPriority w:val="99"/>
    <w:semiHidden/>
    <w:rsid w:val="00701FFC"/>
    <w:rPr>
      <w:rFonts w:ascii="Times New Roman" w:hAnsi="Times New Roman"/>
      <w:lang w:val="en-GB" w:eastAsia="en-US"/>
    </w:rPr>
  </w:style>
  <w:style w:type="table" w:styleId="af6">
    <w:name w:val="Table Grid"/>
    <w:basedOn w:val="a1"/>
    <w:uiPriority w:val="59"/>
    <w:rsid w:val="00323A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a"/>
    <w:link w:val="af8"/>
    <w:uiPriority w:val="34"/>
    <w:qFormat/>
    <w:rsid w:val="00FE5B8E"/>
    <w:pPr>
      <w:ind w:left="720"/>
    </w:pPr>
  </w:style>
  <w:style w:type="character" w:customStyle="1" w:styleId="10">
    <w:name w:val="標題 1 字元"/>
    <w:aliases w:val="H1 字元,h1 字元,Heading 1 3GPP 字元"/>
    <w:link w:val="1"/>
    <w:rsid w:val="003A427B"/>
    <w:rPr>
      <w:rFonts w:ascii="Arial" w:hAnsi="Arial"/>
      <w:sz w:val="36"/>
      <w:lang w:val="en-GB" w:eastAsia="en-US" w:bidi="ar-SA"/>
    </w:rPr>
  </w:style>
  <w:style w:type="character" w:customStyle="1" w:styleId="TACChar">
    <w:name w:val="TAC Char"/>
    <w:link w:val="TAC"/>
    <w:locked/>
    <w:rsid w:val="00A33E0D"/>
    <w:rPr>
      <w:rFonts w:ascii="Arial" w:eastAsia="新細明體" w:hAnsi="Arial"/>
      <w:kern w:val="2"/>
      <w:sz w:val="18"/>
      <w:szCs w:val="22"/>
      <w:lang w:eastAsia="zh-TW"/>
    </w:rPr>
  </w:style>
  <w:style w:type="character" w:customStyle="1" w:styleId="TAHCar">
    <w:name w:val="TAH Car"/>
    <w:link w:val="TAH"/>
    <w:locked/>
    <w:rsid w:val="00A33E0D"/>
    <w:rPr>
      <w:rFonts w:ascii="Arial" w:eastAsia="新細明體" w:hAnsi="Arial"/>
      <w:b/>
      <w:kern w:val="2"/>
      <w:sz w:val="18"/>
      <w:szCs w:val="22"/>
      <w:lang w:eastAsia="zh-TW"/>
    </w:rPr>
  </w:style>
  <w:style w:type="character" w:customStyle="1" w:styleId="B1Char">
    <w:name w:val="B1 Char"/>
    <w:link w:val="B1"/>
    <w:locked/>
    <w:rsid w:val="00EE4B7F"/>
    <w:rPr>
      <w:rFonts w:ascii="Times New Roman" w:eastAsia="Times New Roman" w:hAnsi="Times New Roman"/>
      <w:sz w:val="24"/>
      <w:szCs w:val="24"/>
    </w:rPr>
  </w:style>
  <w:style w:type="character" w:customStyle="1" w:styleId="a6">
    <w:name w:val="頁首 字元"/>
    <w:aliases w:val="header odd 字元"/>
    <w:link w:val="a5"/>
    <w:locked/>
    <w:rsid w:val="00CC3905"/>
    <w:rPr>
      <w:rFonts w:ascii="Arial" w:hAnsi="Arial"/>
      <w:b/>
      <w:noProof/>
      <w:sz w:val="18"/>
      <w:lang w:val="en-US" w:eastAsia="en-US" w:bidi="ar-SA"/>
    </w:rPr>
  </w:style>
  <w:style w:type="character" w:customStyle="1" w:styleId="ab">
    <w:name w:val="頁尾 字元"/>
    <w:link w:val="aa"/>
    <w:uiPriority w:val="99"/>
    <w:rsid w:val="0025336C"/>
    <w:rPr>
      <w:rFonts w:ascii="Arial" w:hAnsi="Arial"/>
      <w:b/>
      <w:i/>
      <w:noProof/>
      <w:sz w:val="18"/>
      <w:lang w:eastAsia="en-US"/>
    </w:rPr>
  </w:style>
  <w:style w:type="paragraph" w:styleId="af9">
    <w:name w:val="endnote text"/>
    <w:basedOn w:val="a"/>
    <w:link w:val="afa"/>
    <w:rsid w:val="0025336C"/>
    <w:rPr>
      <w:sz w:val="20"/>
      <w:szCs w:val="20"/>
    </w:rPr>
  </w:style>
  <w:style w:type="character" w:customStyle="1" w:styleId="afa">
    <w:name w:val="章節附註文字 字元"/>
    <w:link w:val="af9"/>
    <w:rsid w:val="0025336C"/>
    <w:rPr>
      <w:rFonts w:ascii="Times New Roman" w:eastAsia="Times New Roman" w:hAnsi="Times New Roman"/>
    </w:rPr>
  </w:style>
  <w:style w:type="character" w:styleId="afb">
    <w:name w:val="endnote reference"/>
    <w:rsid w:val="0025336C"/>
    <w:rPr>
      <w:vertAlign w:val="superscript"/>
    </w:rPr>
  </w:style>
  <w:style w:type="paragraph" w:styleId="Web">
    <w:name w:val="Normal (Web)"/>
    <w:basedOn w:val="a"/>
    <w:uiPriority w:val="99"/>
    <w:unhideWhenUsed/>
    <w:rsid w:val="00404416"/>
    <w:pPr>
      <w:spacing w:before="75" w:after="75"/>
    </w:pPr>
    <w:rPr>
      <w:rFonts w:ascii="Arial" w:hAnsi="Arial" w:cs="Arial"/>
      <w:sz w:val="20"/>
      <w:szCs w:val="20"/>
    </w:rPr>
  </w:style>
  <w:style w:type="table" w:styleId="-5">
    <w:name w:val="Light Grid Accent 5"/>
    <w:basedOn w:val="a1"/>
    <w:uiPriority w:val="62"/>
    <w:rsid w:val="002E12D9"/>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Lucida Grande" w:eastAsia="新細明體" w:hAnsi="Lucida Grande"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Lucida Grande" w:eastAsia="新細明體" w:hAnsi="Lucida Grande"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Lucida Grande" w:eastAsia="新細明體" w:hAnsi="Lucida Grande" w:cs="Times New Roman"/>
        <w:b/>
        <w:bCs/>
      </w:rPr>
    </w:tblStylePr>
    <w:tblStylePr w:type="lastCol">
      <w:rPr>
        <w:rFonts w:ascii="Lucida Grande" w:eastAsia="新細明體" w:hAnsi="Lucida Grande"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character" w:customStyle="1" w:styleId="af8">
    <w:name w:val="清單段落 字元"/>
    <w:aliases w:val="- Bullets 字元,목록 단락 字元,リスト段落 字元,列出段落 字元,?? ?? 字元,????? 字元,???? 字元,Lista1 字元,列出段落1 字元,中等深浅网格 1 - 着色 21 字元,列表段落 字元,¥¡¡¡¡ì¬º¥¹¥È¶ÎÂä 字元,ÁÐ³ö¶ÎÂä 字元,列表段落1 字元,—ño’i—Ž 字元,¥ê¥¹¥È¶ÎÂä 字元,1st level - Bullet List Paragraph 字元,Lettre d'introduction 字元"/>
    <w:link w:val="af7"/>
    <w:uiPriority w:val="34"/>
    <w:qFormat/>
    <w:locked/>
    <w:rsid w:val="00ED486B"/>
    <w:rPr>
      <w:rFonts w:ascii="Calibri" w:eastAsia="新細明體" w:hAnsi="Calibri" w:cs="新細明體"/>
      <w:kern w:val="2"/>
      <w:sz w:val="24"/>
      <w:szCs w:val="22"/>
    </w:rPr>
  </w:style>
  <w:style w:type="character" w:customStyle="1" w:styleId="TALChar">
    <w:name w:val="TAL Char"/>
    <w:link w:val="TAL"/>
    <w:rsid w:val="002A03AD"/>
    <w:rPr>
      <w:rFonts w:ascii="Arial" w:eastAsia="新細明體" w:hAnsi="Arial"/>
      <w:kern w:val="2"/>
      <w:sz w:val="18"/>
      <w:szCs w:val="22"/>
    </w:rPr>
  </w:style>
  <w:style w:type="paragraph" w:styleId="HTML">
    <w:name w:val="HTML Preformatted"/>
    <w:basedOn w:val="a"/>
    <w:link w:val="HTML0"/>
    <w:uiPriority w:val="99"/>
    <w:unhideWhenUsed/>
    <w:rsid w:val="003024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HTML 預設格式 字元"/>
    <w:link w:val="HTML"/>
    <w:uiPriority w:val="99"/>
    <w:rsid w:val="003024DA"/>
    <w:rPr>
      <w:rFonts w:ascii="Courier New" w:eastAsia="Times New Roman" w:hAnsi="Courier New" w:cs="Courier New"/>
    </w:rPr>
  </w:style>
  <w:style w:type="table" w:customStyle="1" w:styleId="3-11">
    <w:name w:val="清單表格 3 - 輔色 11"/>
    <w:basedOn w:val="a1"/>
    <w:uiPriority w:val="48"/>
    <w:rsid w:val="003024DA"/>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13">
    <w:name w:val="Table Grid 1"/>
    <w:basedOn w:val="a1"/>
    <w:rsid w:val="003024DA"/>
    <w:pPr>
      <w:widowControl w:val="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1">
    <w:name w:val="Table Grid 8"/>
    <w:basedOn w:val="a1"/>
    <w:rsid w:val="003024DA"/>
    <w:pPr>
      <w:widowControl w:val="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7-51">
    <w:name w:val="清單表格 7 彩色 - 輔色 51"/>
    <w:basedOn w:val="a1"/>
    <w:uiPriority w:val="52"/>
    <w:rsid w:val="003024DA"/>
    <w:rPr>
      <w:color w:val="2F5496"/>
    </w:rPr>
    <w:tblPr>
      <w:tblStyleRowBandSize w:val="1"/>
      <w:tblStyleColBandSize w:val="1"/>
    </w:tblPr>
    <w:tblStylePr w:type="firstRow">
      <w:rPr>
        <w:rFonts w:ascii="Lucida Grande" w:eastAsia="新細明體" w:hAnsi="Lucida Grande" w:cs="Times New Roman"/>
        <w:i/>
        <w:iCs/>
        <w:sz w:val="26"/>
      </w:rPr>
      <w:tblPr/>
      <w:tcPr>
        <w:tcBorders>
          <w:bottom w:val="single" w:sz="4" w:space="0" w:color="4472C4"/>
        </w:tcBorders>
        <w:shd w:val="clear" w:color="auto" w:fill="FFFFFF"/>
      </w:tcPr>
    </w:tblStylePr>
    <w:tblStylePr w:type="lastRow">
      <w:rPr>
        <w:rFonts w:ascii="Lucida Grande" w:eastAsia="新細明體" w:hAnsi="Lucida Grande" w:cs="Times New Roman"/>
        <w:i/>
        <w:iCs/>
        <w:sz w:val="26"/>
      </w:rPr>
      <w:tblPr/>
      <w:tcPr>
        <w:tcBorders>
          <w:top w:val="single" w:sz="4" w:space="0" w:color="4472C4"/>
        </w:tcBorders>
        <w:shd w:val="clear" w:color="auto" w:fill="FFFFFF"/>
      </w:tcPr>
    </w:tblStylePr>
    <w:tblStylePr w:type="firstCol">
      <w:pPr>
        <w:jc w:val="right"/>
      </w:pPr>
      <w:rPr>
        <w:rFonts w:ascii="Lucida Grande" w:eastAsia="新細明體" w:hAnsi="Lucida Grande" w:cs="Times New Roman"/>
        <w:i/>
        <w:iCs/>
        <w:sz w:val="26"/>
      </w:rPr>
      <w:tblPr/>
      <w:tcPr>
        <w:tcBorders>
          <w:right w:val="single" w:sz="4" w:space="0" w:color="4472C4"/>
        </w:tcBorders>
        <w:shd w:val="clear" w:color="auto" w:fill="FFFFFF"/>
      </w:tcPr>
    </w:tblStylePr>
    <w:tblStylePr w:type="lastCol">
      <w:rPr>
        <w:rFonts w:ascii="Lucida Grande" w:eastAsia="新細明體" w:hAnsi="Lucida Grande"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5-11">
    <w:name w:val="格線表格 5 深色 - 輔色 11"/>
    <w:basedOn w:val="a1"/>
    <w:uiPriority w:val="50"/>
    <w:rsid w:val="003024D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2-11">
    <w:name w:val="暗色網底 2 - 輔色 11"/>
    <w:basedOn w:val="a1"/>
    <w:uiPriority w:val="64"/>
    <w:rsid w:val="003024D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3D1">
    <w:name w:val="Table 3D effects 1"/>
    <w:basedOn w:val="a1"/>
    <w:rsid w:val="003024DA"/>
    <w:pPr>
      <w:widowControl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6">
    <w:name w:val="Table Simple 2"/>
    <w:basedOn w:val="a1"/>
    <w:rsid w:val="003024DA"/>
    <w:pPr>
      <w:widowControl w:val="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afc">
    <w:name w:val="Table Theme"/>
    <w:basedOn w:val="a1"/>
    <w:rsid w:val="003024DA"/>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C5144F"/>
    <w:rPr>
      <w:rFonts w:ascii="Arial" w:eastAsiaTheme="minorEastAsia" w:hAnsi="Arial" w:cstheme="minorBidi"/>
      <w:b/>
      <w:sz w:val="22"/>
      <w:szCs w:val="22"/>
      <w:lang w:eastAsia="zh-CN"/>
    </w:rPr>
  </w:style>
  <w:style w:type="character" w:customStyle="1" w:styleId="TANChar">
    <w:name w:val="TAN Char"/>
    <w:link w:val="TAN"/>
    <w:rsid w:val="00C5144F"/>
    <w:rPr>
      <w:rFonts w:ascii="Arial" w:eastAsiaTheme="minorEastAsia" w:hAnsi="Arial" w:cstheme="minorBidi"/>
      <w:sz w:val="18"/>
      <w:szCs w:val="22"/>
      <w:lang w:eastAsia="zh-CN"/>
    </w:rPr>
  </w:style>
  <w:style w:type="paragraph" w:styleId="afd">
    <w:name w:val="Body Text"/>
    <w:basedOn w:val="a"/>
    <w:link w:val="afe"/>
    <w:semiHidden/>
    <w:unhideWhenUsed/>
    <w:rsid w:val="00E21BA1"/>
    <w:pPr>
      <w:spacing w:after="120"/>
    </w:pPr>
  </w:style>
  <w:style w:type="character" w:customStyle="1" w:styleId="afe">
    <w:name w:val="本文 字元"/>
    <w:basedOn w:val="a0"/>
    <w:link w:val="afd"/>
    <w:semiHidden/>
    <w:rsid w:val="00E21BA1"/>
    <w:rPr>
      <w:rFonts w:asciiTheme="minorHAnsi" w:eastAsiaTheme="minorEastAsia" w:hAnsiTheme="minorHAnsi" w:cstheme="minorBidi"/>
      <w:sz w:val="22"/>
      <w:szCs w:val="22"/>
      <w:lang w:eastAsia="zh-CN"/>
    </w:rPr>
  </w:style>
  <w:style w:type="character" w:customStyle="1" w:styleId="TALCar">
    <w:name w:val="TAL Car"/>
    <w:rsid w:val="00056C39"/>
    <w:rPr>
      <w:rFonts w:ascii="Arial" w:hAnsi="Arial" w:cs="Arial"/>
      <w:sz w:val="18"/>
      <w:szCs w:val="18"/>
      <w:lang w:val="en-GB"/>
    </w:rPr>
  </w:style>
  <w:style w:type="character" w:customStyle="1" w:styleId="PLChar">
    <w:name w:val="PL Char"/>
    <w:basedOn w:val="a0"/>
    <w:link w:val="PL"/>
    <w:rsid w:val="00F6133C"/>
    <w:rPr>
      <w:rFonts w:ascii="Courier New" w:hAnsi="Courier New"/>
      <w:noProof/>
      <w:sz w:val="16"/>
      <w:lang w:eastAsia="en-US"/>
    </w:rPr>
  </w:style>
  <w:style w:type="table" w:styleId="14">
    <w:name w:val="Plain Table 1"/>
    <w:basedOn w:val="a1"/>
    <w:uiPriority w:val="41"/>
    <w:rsid w:val="006A151B"/>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aff">
    <w:name w:val="Placeholder Text"/>
    <w:basedOn w:val="a0"/>
    <w:uiPriority w:val="99"/>
    <w:semiHidden/>
    <w:rsid w:val="00BC37AC"/>
    <w:rPr>
      <w:color w:val="808080"/>
    </w:rPr>
  </w:style>
  <w:style w:type="table" w:customStyle="1" w:styleId="15">
    <w:name w:val="表格格線1"/>
    <w:basedOn w:val="a1"/>
    <w:next w:val="af6"/>
    <w:rsid w:val="00242B9F"/>
    <w:rPr>
      <w:rFonts w:eastAsia="Malgun Gothic"/>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pple-converted-space">
    <w:name w:val="apple-converted-space"/>
    <w:basedOn w:val="a0"/>
    <w:rsid w:val="002F2973"/>
  </w:style>
  <w:style w:type="character" w:styleId="aff0">
    <w:name w:val="Emphasis"/>
    <w:basedOn w:val="a0"/>
    <w:uiPriority w:val="20"/>
    <w:qFormat/>
    <w:rsid w:val="002F2973"/>
    <w:rPr>
      <w:i/>
      <w:iCs/>
    </w:rPr>
  </w:style>
  <w:style w:type="table" w:styleId="5-1">
    <w:name w:val="Grid Table 5 Dark Accent 1"/>
    <w:basedOn w:val="a1"/>
    <w:uiPriority w:val="50"/>
    <w:rsid w:val="008A02C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CRCoverPageChar">
    <w:name w:val="CR Cover Page Char"/>
    <w:link w:val="CRCoverPage"/>
    <w:rsid w:val="00DC4201"/>
    <w:rPr>
      <w:rFonts w:ascii="Arial" w:eastAsia="MS Mincho" w:hAnsi="Arial"/>
      <w:lang w:val="en-GB" w:eastAsia="en-US"/>
    </w:rPr>
  </w:style>
  <w:style w:type="character" w:styleId="aff1">
    <w:name w:val="Strong"/>
    <w:basedOn w:val="a0"/>
    <w:uiPriority w:val="22"/>
    <w:qFormat/>
    <w:rsid w:val="00BD3E6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45236">
      <w:bodyDiv w:val="1"/>
      <w:marLeft w:val="0"/>
      <w:marRight w:val="0"/>
      <w:marTop w:val="0"/>
      <w:marBottom w:val="0"/>
      <w:divBdr>
        <w:top w:val="none" w:sz="0" w:space="0" w:color="auto"/>
        <w:left w:val="none" w:sz="0" w:space="0" w:color="auto"/>
        <w:bottom w:val="none" w:sz="0" w:space="0" w:color="auto"/>
        <w:right w:val="none" w:sz="0" w:space="0" w:color="auto"/>
      </w:divBdr>
    </w:div>
    <w:div w:id="6520099">
      <w:bodyDiv w:val="1"/>
      <w:marLeft w:val="0"/>
      <w:marRight w:val="0"/>
      <w:marTop w:val="0"/>
      <w:marBottom w:val="0"/>
      <w:divBdr>
        <w:top w:val="none" w:sz="0" w:space="0" w:color="auto"/>
        <w:left w:val="none" w:sz="0" w:space="0" w:color="auto"/>
        <w:bottom w:val="none" w:sz="0" w:space="0" w:color="auto"/>
        <w:right w:val="none" w:sz="0" w:space="0" w:color="auto"/>
      </w:divBdr>
    </w:div>
    <w:div w:id="15162546">
      <w:bodyDiv w:val="1"/>
      <w:marLeft w:val="0"/>
      <w:marRight w:val="0"/>
      <w:marTop w:val="0"/>
      <w:marBottom w:val="0"/>
      <w:divBdr>
        <w:top w:val="none" w:sz="0" w:space="0" w:color="auto"/>
        <w:left w:val="none" w:sz="0" w:space="0" w:color="auto"/>
        <w:bottom w:val="none" w:sz="0" w:space="0" w:color="auto"/>
        <w:right w:val="none" w:sz="0" w:space="0" w:color="auto"/>
      </w:divBdr>
    </w:div>
    <w:div w:id="17048357">
      <w:bodyDiv w:val="1"/>
      <w:marLeft w:val="0"/>
      <w:marRight w:val="0"/>
      <w:marTop w:val="0"/>
      <w:marBottom w:val="0"/>
      <w:divBdr>
        <w:top w:val="none" w:sz="0" w:space="0" w:color="auto"/>
        <w:left w:val="none" w:sz="0" w:space="0" w:color="auto"/>
        <w:bottom w:val="none" w:sz="0" w:space="0" w:color="auto"/>
        <w:right w:val="none" w:sz="0" w:space="0" w:color="auto"/>
      </w:divBdr>
      <w:divsChild>
        <w:div w:id="344291663">
          <w:marLeft w:val="1800"/>
          <w:marRight w:val="0"/>
          <w:marTop w:val="67"/>
          <w:marBottom w:val="0"/>
          <w:divBdr>
            <w:top w:val="none" w:sz="0" w:space="0" w:color="auto"/>
            <w:left w:val="none" w:sz="0" w:space="0" w:color="auto"/>
            <w:bottom w:val="none" w:sz="0" w:space="0" w:color="auto"/>
            <w:right w:val="none" w:sz="0" w:space="0" w:color="auto"/>
          </w:divBdr>
        </w:div>
      </w:divsChild>
    </w:div>
    <w:div w:id="17856432">
      <w:bodyDiv w:val="1"/>
      <w:marLeft w:val="0"/>
      <w:marRight w:val="0"/>
      <w:marTop w:val="0"/>
      <w:marBottom w:val="0"/>
      <w:divBdr>
        <w:top w:val="none" w:sz="0" w:space="0" w:color="auto"/>
        <w:left w:val="none" w:sz="0" w:space="0" w:color="auto"/>
        <w:bottom w:val="none" w:sz="0" w:space="0" w:color="auto"/>
        <w:right w:val="none" w:sz="0" w:space="0" w:color="auto"/>
      </w:divBdr>
    </w:div>
    <w:div w:id="18435002">
      <w:bodyDiv w:val="1"/>
      <w:marLeft w:val="0"/>
      <w:marRight w:val="0"/>
      <w:marTop w:val="0"/>
      <w:marBottom w:val="0"/>
      <w:divBdr>
        <w:top w:val="none" w:sz="0" w:space="0" w:color="auto"/>
        <w:left w:val="none" w:sz="0" w:space="0" w:color="auto"/>
        <w:bottom w:val="none" w:sz="0" w:space="0" w:color="auto"/>
        <w:right w:val="none" w:sz="0" w:space="0" w:color="auto"/>
      </w:divBdr>
    </w:div>
    <w:div w:id="24016312">
      <w:bodyDiv w:val="1"/>
      <w:marLeft w:val="0"/>
      <w:marRight w:val="0"/>
      <w:marTop w:val="0"/>
      <w:marBottom w:val="0"/>
      <w:divBdr>
        <w:top w:val="none" w:sz="0" w:space="0" w:color="auto"/>
        <w:left w:val="none" w:sz="0" w:space="0" w:color="auto"/>
        <w:bottom w:val="none" w:sz="0" w:space="0" w:color="auto"/>
        <w:right w:val="none" w:sz="0" w:space="0" w:color="auto"/>
      </w:divBdr>
    </w:div>
    <w:div w:id="35787871">
      <w:bodyDiv w:val="1"/>
      <w:marLeft w:val="0"/>
      <w:marRight w:val="0"/>
      <w:marTop w:val="0"/>
      <w:marBottom w:val="0"/>
      <w:divBdr>
        <w:top w:val="none" w:sz="0" w:space="0" w:color="auto"/>
        <w:left w:val="none" w:sz="0" w:space="0" w:color="auto"/>
        <w:bottom w:val="none" w:sz="0" w:space="0" w:color="auto"/>
        <w:right w:val="none" w:sz="0" w:space="0" w:color="auto"/>
      </w:divBdr>
    </w:div>
    <w:div w:id="39012145">
      <w:bodyDiv w:val="1"/>
      <w:marLeft w:val="0"/>
      <w:marRight w:val="0"/>
      <w:marTop w:val="0"/>
      <w:marBottom w:val="0"/>
      <w:divBdr>
        <w:top w:val="none" w:sz="0" w:space="0" w:color="auto"/>
        <w:left w:val="none" w:sz="0" w:space="0" w:color="auto"/>
        <w:bottom w:val="none" w:sz="0" w:space="0" w:color="auto"/>
        <w:right w:val="none" w:sz="0" w:space="0" w:color="auto"/>
      </w:divBdr>
    </w:div>
    <w:div w:id="43137639">
      <w:bodyDiv w:val="1"/>
      <w:marLeft w:val="0"/>
      <w:marRight w:val="0"/>
      <w:marTop w:val="0"/>
      <w:marBottom w:val="0"/>
      <w:divBdr>
        <w:top w:val="none" w:sz="0" w:space="0" w:color="auto"/>
        <w:left w:val="none" w:sz="0" w:space="0" w:color="auto"/>
        <w:bottom w:val="none" w:sz="0" w:space="0" w:color="auto"/>
        <w:right w:val="none" w:sz="0" w:space="0" w:color="auto"/>
      </w:divBdr>
    </w:div>
    <w:div w:id="47922577">
      <w:bodyDiv w:val="1"/>
      <w:marLeft w:val="0"/>
      <w:marRight w:val="0"/>
      <w:marTop w:val="0"/>
      <w:marBottom w:val="0"/>
      <w:divBdr>
        <w:top w:val="none" w:sz="0" w:space="0" w:color="auto"/>
        <w:left w:val="none" w:sz="0" w:space="0" w:color="auto"/>
        <w:bottom w:val="none" w:sz="0" w:space="0" w:color="auto"/>
        <w:right w:val="none" w:sz="0" w:space="0" w:color="auto"/>
      </w:divBdr>
    </w:div>
    <w:div w:id="58988704">
      <w:bodyDiv w:val="1"/>
      <w:marLeft w:val="0"/>
      <w:marRight w:val="0"/>
      <w:marTop w:val="0"/>
      <w:marBottom w:val="0"/>
      <w:divBdr>
        <w:top w:val="none" w:sz="0" w:space="0" w:color="auto"/>
        <w:left w:val="none" w:sz="0" w:space="0" w:color="auto"/>
        <w:bottom w:val="none" w:sz="0" w:space="0" w:color="auto"/>
        <w:right w:val="none" w:sz="0" w:space="0" w:color="auto"/>
      </w:divBdr>
    </w:div>
    <w:div w:id="64687360">
      <w:bodyDiv w:val="1"/>
      <w:marLeft w:val="0"/>
      <w:marRight w:val="0"/>
      <w:marTop w:val="0"/>
      <w:marBottom w:val="0"/>
      <w:divBdr>
        <w:top w:val="none" w:sz="0" w:space="0" w:color="auto"/>
        <w:left w:val="none" w:sz="0" w:space="0" w:color="auto"/>
        <w:bottom w:val="none" w:sz="0" w:space="0" w:color="auto"/>
        <w:right w:val="none" w:sz="0" w:space="0" w:color="auto"/>
      </w:divBdr>
    </w:div>
    <w:div w:id="78215305">
      <w:bodyDiv w:val="1"/>
      <w:marLeft w:val="0"/>
      <w:marRight w:val="0"/>
      <w:marTop w:val="0"/>
      <w:marBottom w:val="0"/>
      <w:divBdr>
        <w:top w:val="none" w:sz="0" w:space="0" w:color="auto"/>
        <w:left w:val="none" w:sz="0" w:space="0" w:color="auto"/>
        <w:bottom w:val="none" w:sz="0" w:space="0" w:color="auto"/>
        <w:right w:val="none" w:sz="0" w:space="0" w:color="auto"/>
      </w:divBdr>
    </w:div>
    <w:div w:id="78409845">
      <w:bodyDiv w:val="1"/>
      <w:marLeft w:val="0"/>
      <w:marRight w:val="0"/>
      <w:marTop w:val="0"/>
      <w:marBottom w:val="0"/>
      <w:divBdr>
        <w:top w:val="none" w:sz="0" w:space="0" w:color="auto"/>
        <w:left w:val="none" w:sz="0" w:space="0" w:color="auto"/>
        <w:bottom w:val="none" w:sz="0" w:space="0" w:color="auto"/>
        <w:right w:val="none" w:sz="0" w:space="0" w:color="auto"/>
      </w:divBdr>
    </w:div>
    <w:div w:id="87503923">
      <w:bodyDiv w:val="1"/>
      <w:marLeft w:val="0"/>
      <w:marRight w:val="0"/>
      <w:marTop w:val="0"/>
      <w:marBottom w:val="0"/>
      <w:divBdr>
        <w:top w:val="none" w:sz="0" w:space="0" w:color="auto"/>
        <w:left w:val="none" w:sz="0" w:space="0" w:color="auto"/>
        <w:bottom w:val="none" w:sz="0" w:space="0" w:color="auto"/>
        <w:right w:val="none" w:sz="0" w:space="0" w:color="auto"/>
      </w:divBdr>
    </w:div>
    <w:div w:id="91978265">
      <w:bodyDiv w:val="1"/>
      <w:marLeft w:val="0"/>
      <w:marRight w:val="0"/>
      <w:marTop w:val="0"/>
      <w:marBottom w:val="0"/>
      <w:divBdr>
        <w:top w:val="none" w:sz="0" w:space="0" w:color="auto"/>
        <w:left w:val="none" w:sz="0" w:space="0" w:color="auto"/>
        <w:bottom w:val="none" w:sz="0" w:space="0" w:color="auto"/>
        <w:right w:val="none" w:sz="0" w:space="0" w:color="auto"/>
      </w:divBdr>
    </w:div>
    <w:div w:id="92361413">
      <w:bodyDiv w:val="1"/>
      <w:marLeft w:val="0"/>
      <w:marRight w:val="0"/>
      <w:marTop w:val="0"/>
      <w:marBottom w:val="0"/>
      <w:divBdr>
        <w:top w:val="none" w:sz="0" w:space="0" w:color="auto"/>
        <w:left w:val="none" w:sz="0" w:space="0" w:color="auto"/>
        <w:bottom w:val="none" w:sz="0" w:space="0" w:color="auto"/>
        <w:right w:val="none" w:sz="0" w:space="0" w:color="auto"/>
      </w:divBdr>
    </w:div>
    <w:div w:id="103499981">
      <w:bodyDiv w:val="1"/>
      <w:marLeft w:val="0"/>
      <w:marRight w:val="0"/>
      <w:marTop w:val="0"/>
      <w:marBottom w:val="0"/>
      <w:divBdr>
        <w:top w:val="none" w:sz="0" w:space="0" w:color="auto"/>
        <w:left w:val="none" w:sz="0" w:space="0" w:color="auto"/>
        <w:bottom w:val="none" w:sz="0" w:space="0" w:color="auto"/>
        <w:right w:val="none" w:sz="0" w:space="0" w:color="auto"/>
      </w:divBdr>
    </w:div>
    <w:div w:id="108278549">
      <w:bodyDiv w:val="1"/>
      <w:marLeft w:val="0"/>
      <w:marRight w:val="0"/>
      <w:marTop w:val="0"/>
      <w:marBottom w:val="0"/>
      <w:divBdr>
        <w:top w:val="none" w:sz="0" w:space="0" w:color="auto"/>
        <w:left w:val="none" w:sz="0" w:space="0" w:color="auto"/>
        <w:bottom w:val="none" w:sz="0" w:space="0" w:color="auto"/>
        <w:right w:val="none" w:sz="0" w:space="0" w:color="auto"/>
      </w:divBdr>
      <w:divsChild>
        <w:div w:id="444084207">
          <w:marLeft w:val="1166"/>
          <w:marRight w:val="0"/>
          <w:marTop w:val="91"/>
          <w:marBottom w:val="0"/>
          <w:divBdr>
            <w:top w:val="none" w:sz="0" w:space="0" w:color="auto"/>
            <w:left w:val="none" w:sz="0" w:space="0" w:color="auto"/>
            <w:bottom w:val="none" w:sz="0" w:space="0" w:color="auto"/>
            <w:right w:val="none" w:sz="0" w:space="0" w:color="auto"/>
          </w:divBdr>
        </w:div>
        <w:div w:id="762338562">
          <w:marLeft w:val="1800"/>
          <w:marRight w:val="0"/>
          <w:marTop w:val="82"/>
          <w:marBottom w:val="0"/>
          <w:divBdr>
            <w:top w:val="none" w:sz="0" w:space="0" w:color="auto"/>
            <w:left w:val="none" w:sz="0" w:space="0" w:color="auto"/>
            <w:bottom w:val="none" w:sz="0" w:space="0" w:color="auto"/>
            <w:right w:val="none" w:sz="0" w:space="0" w:color="auto"/>
          </w:divBdr>
        </w:div>
        <w:div w:id="993529313">
          <w:marLeft w:val="2520"/>
          <w:marRight w:val="0"/>
          <w:marTop w:val="82"/>
          <w:marBottom w:val="0"/>
          <w:divBdr>
            <w:top w:val="none" w:sz="0" w:space="0" w:color="auto"/>
            <w:left w:val="none" w:sz="0" w:space="0" w:color="auto"/>
            <w:bottom w:val="none" w:sz="0" w:space="0" w:color="auto"/>
            <w:right w:val="none" w:sz="0" w:space="0" w:color="auto"/>
          </w:divBdr>
        </w:div>
        <w:div w:id="1104963033">
          <w:marLeft w:val="1800"/>
          <w:marRight w:val="0"/>
          <w:marTop w:val="82"/>
          <w:marBottom w:val="0"/>
          <w:divBdr>
            <w:top w:val="none" w:sz="0" w:space="0" w:color="auto"/>
            <w:left w:val="none" w:sz="0" w:space="0" w:color="auto"/>
            <w:bottom w:val="none" w:sz="0" w:space="0" w:color="auto"/>
            <w:right w:val="none" w:sz="0" w:space="0" w:color="auto"/>
          </w:divBdr>
        </w:div>
        <w:div w:id="1823691443">
          <w:marLeft w:val="2520"/>
          <w:marRight w:val="0"/>
          <w:marTop w:val="82"/>
          <w:marBottom w:val="0"/>
          <w:divBdr>
            <w:top w:val="none" w:sz="0" w:space="0" w:color="auto"/>
            <w:left w:val="none" w:sz="0" w:space="0" w:color="auto"/>
            <w:bottom w:val="none" w:sz="0" w:space="0" w:color="auto"/>
            <w:right w:val="none" w:sz="0" w:space="0" w:color="auto"/>
          </w:divBdr>
        </w:div>
        <w:div w:id="2010130373">
          <w:marLeft w:val="1800"/>
          <w:marRight w:val="0"/>
          <w:marTop w:val="82"/>
          <w:marBottom w:val="0"/>
          <w:divBdr>
            <w:top w:val="none" w:sz="0" w:space="0" w:color="auto"/>
            <w:left w:val="none" w:sz="0" w:space="0" w:color="auto"/>
            <w:bottom w:val="none" w:sz="0" w:space="0" w:color="auto"/>
            <w:right w:val="none" w:sz="0" w:space="0" w:color="auto"/>
          </w:divBdr>
        </w:div>
      </w:divsChild>
    </w:div>
    <w:div w:id="109977841">
      <w:bodyDiv w:val="1"/>
      <w:marLeft w:val="0"/>
      <w:marRight w:val="0"/>
      <w:marTop w:val="0"/>
      <w:marBottom w:val="0"/>
      <w:divBdr>
        <w:top w:val="none" w:sz="0" w:space="0" w:color="auto"/>
        <w:left w:val="none" w:sz="0" w:space="0" w:color="auto"/>
        <w:bottom w:val="none" w:sz="0" w:space="0" w:color="auto"/>
        <w:right w:val="none" w:sz="0" w:space="0" w:color="auto"/>
      </w:divBdr>
    </w:div>
    <w:div w:id="112290172">
      <w:bodyDiv w:val="1"/>
      <w:marLeft w:val="0"/>
      <w:marRight w:val="0"/>
      <w:marTop w:val="0"/>
      <w:marBottom w:val="0"/>
      <w:divBdr>
        <w:top w:val="none" w:sz="0" w:space="0" w:color="auto"/>
        <w:left w:val="none" w:sz="0" w:space="0" w:color="auto"/>
        <w:bottom w:val="none" w:sz="0" w:space="0" w:color="auto"/>
        <w:right w:val="none" w:sz="0" w:space="0" w:color="auto"/>
      </w:divBdr>
    </w:div>
    <w:div w:id="119997878">
      <w:bodyDiv w:val="1"/>
      <w:marLeft w:val="0"/>
      <w:marRight w:val="0"/>
      <w:marTop w:val="0"/>
      <w:marBottom w:val="0"/>
      <w:divBdr>
        <w:top w:val="none" w:sz="0" w:space="0" w:color="auto"/>
        <w:left w:val="none" w:sz="0" w:space="0" w:color="auto"/>
        <w:bottom w:val="none" w:sz="0" w:space="0" w:color="auto"/>
        <w:right w:val="none" w:sz="0" w:space="0" w:color="auto"/>
      </w:divBdr>
    </w:div>
    <w:div w:id="126316010">
      <w:bodyDiv w:val="1"/>
      <w:marLeft w:val="0"/>
      <w:marRight w:val="0"/>
      <w:marTop w:val="0"/>
      <w:marBottom w:val="0"/>
      <w:divBdr>
        <w:top w:val="none" w:sz="0" w:space="0" w:color="auto"/>
        <w:left w:val="none" w:sz="0" w:space="0" w:color="auto"/>
        <w:bottom w:val="none" w:sz="0" w:space="0" w:color="auto"/>
        <w:right w:val="none" w:sz="0" w:space="0" w:color="auto"/>
      </w:divBdr>
    </w:div>
    <w:div w:id="126748575">
      <w:bodyDiv w:val="1"/>
      <w:marLeft w:val="0"/>
      <w:marRight w:val="0"/>
      <w:marTop w:val="0"/>
      <w:marBottom w:val="0"/>
      <w:divBdr>
        <w:top w:val="none" w:sz="0" w:space="0" w:color="auto"/>
        <w:left w:val="none" w:sz="0" w:space="0" w:color="auto"/>
        <w:bottom w:val="none" w:sz="0" w:space="0" w:color="auto"/>
        <w:right w:val="none" w:sz="0" w:space="0" w:color="auto"/>
      </w:divBdr>
    </w:div>
    <w:div w:id="135267348">
      <w:bodyDiv w:val="1"/>
      <w:marLeft w:val="0"/>
      <w:marRight w:val="0"/>
      <w:marTop w:val="0"/>
      <w:marBottom w:val="0"/>
      <w:divBdr>
        <w:top w:val="none" w:sz="0" w:space="0" w:color="auto"/>
        <w:left w:val="none" w:sz="0" w:space="0" w:color="auto"/>
        <w:bottom w:val="none" w:sz="0" w:space="0" w:color="auto"/>
        <w:right w:val="none" w:sz="0" w:space="0" w:color="auto"/>
      </w:divBdr>
    </w:div>
    <w:div w:id="141586870">
      <w:bodyDiv w:val="1"/>
      <w:marLeft w:val="0"/>
      <w:marRight w:val="0"/>
      <w:marTop w:val="0"/>
      <w:marBottom w:val="0"/>
      <w:divBdr>
        <w:top w:val="none" w:sz="0" w:space="0" w:color="auto"/>
        <w:left w:val="none" w:sz="0" w:space="0" w:color="auto"/>
        <w:bottom w:val="none" w:sz="0" w:space="0" w:color="auto"/>
        <w:right w:val="none" w:sz="0" w:space="0" w:color="auto"/>
      </w:divBdr>
    </w:div>
    <w:div w:id="145166815">
      <w:bodyDiv w:val="1"/>
      <w:marLeft w:val="0"/>
      <w:marRight w:val="0"/>
      <w:marTop w:val="0"/>
      <w:marBottom w:val="0"/>
      <w:divBdr>
        <w:top w:val="none" w:sz="0" w:space="0" w:color="auto"/>
        <w:left w:val="none" w:sz="0" w:space="0" w:color="auto"/>
        <w:bottom w:val="none" w:sz="0" w:space="0" w:color="auto"/>
        <w:right w:val="none" w:sz="0" w:space="0" w:color="auto"/>
      </w:divBdr>
      <w:divsChild>
        <w:div w:id="221872057">
          <w:marLeft w:val="2520"/>
          <w:marRight w:val="0"/>
          <w:marTop w:val="86"/>
          <w:marBottom w:val="0"/>
          <w:divBdr>
            <w:top w:val="none" w:sz="0" w:space="0" w:color="auto"/>
            <w:left w:val="none" w:sz="0" w:space="0" w:color="auto"/>
            <w:bottom w:val="none" w:sz="0" w:space="0" w:color="auto"/>
            <w:right w:val="none" w:sz="0" w:space="0" w:color="auto"/>
          </w:divBdr>
        </w:div>
        <w:div w:id="255944655">
          <w:marLeft w:val="3240"/>
          <w:marRight w:val="0"/>
          <w:marTop w:val="86"/>
          <w:marBottom w:val="0"/>
          <w:divBdr>
            <w:top w:val="none" w:sz="0" w:space="0" w:color="auto"/>
            <w:left w:val="none" w:sz="0" w:space="0" w:color="auto"/>
            <w:bottom w:val="none" w:sz="0" w:space="0" w:color="auto"/>
            <w:right w:val="none" w:sz="0" w:space="0" w:color="auto"/>
          </w:divBdr>
        </w:div>
        <w:div w:id="547642423">
          <w:marLeft w:val="2520"/>
          <w:marRight w:val="0"/>
          <w:marTop w:val="86"/>
          <w:marBottom w:val="0"/>
          <w:divBdr>
            <w:top w:val="none" w:sz="0" w:space="0" w:color="auto"/>
            <w:left w:val="none" w:sz="0" w:space="0" w:color="auto"/>
            <w:bottom w:val="none" w:sz="0" w:space="0" w:color="auto"/>
            <w:right w:val="none" w:sz="0" w:space="0" w:color="auto"/>
          </w:divBdr>
        </w:div>
        <w:div w:id="652946894">
          <w:marLeft w:val="2520"/>
          <w:marRight w:val="0"/>
          <w:marTop w:val="86"/>
          <w:marBottom w:val="0"/>
          <w:divBdr>
            <w:top w:val="none" w:sz="0" w:space="0" w:color="auto"/>
            <w:left w:val="none" w:sz="0" w:space="0" w:color="auto"/>
            <w:bottom w:val="none" w:sz="0" w:space="0" w:color="auto"/>
            <w:right w:val="none" w:sz="0" w:space="0" w:color="auto"/>
          </w:divBdr>
        </w:div>
        <w:div w:id="1330867737">
          <w:marLeft w:val="3240"/>
          <w:marRight w:val="0"/>
          <w:marTop w:val="86"/>
          <w:marBottom w:val="0"/>
          <w:divBdr>
            <w:top w:val="none" w:sz="0" w:space="0" w:color="auto"/>
            <w:left w:val="none" w:sz="0" w:space="0" w:color="auto"/>
            <w:bottom w:val="none" w:sz="0" w:space="0" w:color="auto"/>
            <w:right w:val="none" w:sz="0" w:space="0" w:color="auto"/>
          </w:divBdr>
        </w:div>
        <w:div w:id="1438528109">
          <w:marLeft w:val="1800"/>
          <w:marRight w:val="0"/>
          <w:marTop w:val="86"/>
          <w:marBottom w:val="0"/>
          <w:divBdr>
            <w:top w:val="none" w:sz="0" w:space="0" w:color="auto"/>
            <w:left w:val="none" w:sz="0" w:space="0" w:color="auto"/>
            <w:bottom w:val="none" w:sz="0" w:space="0" w:color="auto"/>
            <w:right w:val="none" w:sz="0" w:space="0" w:color="auto"/>
          </w:divBdr>
        </w:div>
        <w:div w:id="1528980292">
          <w:marLeft w:val="3240"/>
          <w:marRight w:val="0"/>
          <w:marTop w:val="86"/>
          <w:marBottom w:val="0"/>
          <w:divBdr>
            <w:top w:val="none" w:sz="0" w:space="0" w:color="auto"/>
            <w:left w:val="none" w:sz="0" w:space="0" w:color="auto"/>
            <w:bottom w:val="none" w:sz="0" w:space="0" w:color="auto"/>
            <w:right w:val="none" w:sz="0" w:space="0" w:color="auto"/>
          </w:divBdr>
        </w:div>
        <w:div w:id="1730885110">
          <w:marLeft w:val="1800"/>
          <w:marRight w:val="0"/>
          <w:marTop w:val="86"/>
          <w:marBottom w:val="0"/>
          <w:divBdr>
            <w:top w:val="none" w:sz="0" w:space="0" w:color="auto"/>
            <w:left w:val="none" w:sz="0" w:space="0" w:color="auto"/>
            <w:bottom w:val="none" w:sz="0" w:space="0" w:color="auto"/>
            <w:right w:val="none" w:sz="0" w:space="0" w:color="auto"/>
          </w:divBdr>
        </w:div>
        <w:div w:id="1878544833">
          <w:marLeft w:val="2520"/>
          <w:marRight w:val="0"/>
          <w:marTop w:val="86"/>
          <w:marBottom w:val="0"/>
          <w:divBdr>
            <w:top w:val="none" w:sz="0" w:space="0" w:color="auto"/>
            <w:left w:val="none" w:sz="0" w:space="0" w:color="auto"/>
            <w:bottom w:val="none" w:sz="0" w:space="0" w:color="auto"/>
            <w:right w:val="none" w:sz="0" w:space="0" w:color="auto"/>
          </w:divBdr>
        </w:div>
      </w:divsChild>
    </w:div>
    <w:div w:id="153882975">
      <w:bodyDiv w:val="1"/>
      <w:marLeft w:val="0"/>
      <w:marRight w:val="0"/>
      <w:marTop w:val="0"/>
      <w:marBottom w:val="0"/>
      <w:divBdr>
        <w:top w:val="none" w:sz="0" w:space="0" w:color="auto"/>
        <w:left w:val="none" w:sz="0" w:space="0" w:color="auto"/>
        <w:bottom w:val="none" w:sz="0" w:space="0" w:color="auto"/>
        <w:right w:val="none" w:sz="0" w:space="0" w:color="auto"/>
      </w:divBdr>
    </w:div>
    <w:div w:id="156923124">
      <w:bodyDiv w:val="1"/>
      <w:marLeft w:val="0"/>
      <w:marRight w:val="0"/>
      <w:marTop w:val="0"/>
      <w:marBottom w:val="0"/>
      <w:divBdr>
        <w:top w:val="none" w:sz="0" w:space="0" w:color="auto"/>
        <w:left w:val="none" w:sz="0" w:space="0" w:color="auto"/>
        <w:bottom w:val="none" w:sz="0" w:space="0" w:color="auto"/>
        <w:right w:val="none" w:sz="0" w:space="0" w:color="auto"/>
      </w:divBdr>
    </w:div>
    <w:div w:id="162669788">
      <w:bodyDiv w:val="1"/>
      <w:marLeft w:val="0"/>
      <w:marRight w:val="0"/>
      <w:marTop w:val="0"/>
      <w:marBottom w:val="0"/>
      <w:divBdr>
        <w:top w:val="none" w:sz="0" w:space="0" w:color="auto"/>
        <w:left w:val="none" w:sz="0" w:space="0" w:color="auto"/>
        <w:bottom w:val="none" w:sz="0" w:space="0" w:color="auto"/>
        <w:right w:val="none" w:sz="0" w:space="0" w:color="auto"/>
      </w:divBdr>
    </w:div>
    <w:div w:id="163669004">
      <w:bodyDiv w:val="1"/>
      <w:marLeft w:val="0"/>
      <w:marRight w:val="0"/>
      <w:marTop w:val="0"/>
      <w:marBottom w:val="0"/>
      <w:divBdr>
        <w:top w:val="none" w:sz="0" w:space="0" w:color="auto"/>
        <w:left w:val="none" w:sz="0" w:space="0" w:color="auto"/>
        <w:bottom w:val="none" w:sz="0" w:space="0" w:color="auto"/>
        <w:right w:val="none" w:sz="0" w:space="0" w:color="auto"/>
      </w:divBdr>
    </w:div>
    <w:div w:id="164900782">
      <w:bodyDiv w:val="1"/>
      <w:marLeft w:val="0"/>
      <w:marRight w:val="0"/>
      <w:marTop w:val="0"/>
      <w:marBottom w:val="0"/>
      <w:divBdr>
        <w:top w:val="none" w:sz="0" w:space="0" w:color="auto"/>
        <w:left w:val="none" w:sz="0" w:space="0" w:color="auto"/>
        <w:bottom w:val="none" w:sz="0" w:space="0" w:color="auto"/>
        <w:right w:val="none" w:sz="0" w:space="0" w:color="auto"/>
      </w:divBdr>
    </w:div>
    <w:div w:id="184683334">
      <w:bodyDiv w:val="1"/>
      <w:marLeft w:val="0"/>
      <w:marRight w:val="0"/>
      <w:marTop w:val="0"/>
      <w:marBottom w:val="0"/>
      <w:divBdr>
        <w:top w:val="none" w:sz="0" w:space="0" w:color="auto"/>
        <w:left w:val="none" w:sz="0" w:space="0" w:color="auto"/>
        <w:bottom w:val="none" w:sz="0" w:space="0" w:color="auto"/>
        <w:right w:val="none" w:sz="0" w:space="0" w:color="auto"/>
      </w:divBdr>
      <w:divsChild>
        <w:div w:id="711073180">
          <w:marLeft w:val="1800"/>
          <w:marRight w:val="0"/>
          <w:marTop w:val="86"/>
          <w:marBottom w:val="0"/>
          <w:divBdr>
            <w:top w:val="none" w:sz="0" w:space="0" w:color="auto"/>
            <w:left w:val="none" w:sz="0" w:space="0" w:color="auto"/>
            <w:bottom w:val="none" w:sz="0" w:space="0" w:color="auto"/>
            <w:right w:val="none" w:sz="0" w:space="0" w:color="auto"/>
          </w:divBdr>
        </w:div>
        <w:div w:id="868419915">
          <w:marLeft w:val="1800"/>
          <w:marRight w:val="0"/>
          <w:marTop w:val="86"/>
          <w:marBottom w:val="0"/>
          <w:divBdr>
            <w:top w:val="none" w:sz="0" w:space="0" w:color="auto"/>
            <w:left w:val="none" w:sz="0" w:space="0" w:color="auto"/>
            <w:bottom w:val="none" w:sz="0" w:space="0" w:color="auto"/>
            <w:right w:val="none" w:sz="0" w:space="0" w:color="auto"/>
          </w:divBdr>
        </w:div>
        <w:div w:id="879440664">
          <w:marLeft w:val="1166"/>
          <w:marRight w:val="0"/>
          <w:marTop w:val="86"/>
          <w:marBottom w:val="0"/>
          <w:divBdr>
            <w:top w:val="none" w:sz="0" w:space="0" w:color="auto"/>
            <w:left w:val="none" w:sz="0" w:space="0" w:color="auto"/>
            <w:bottom w:val="none" w:sz="0" w:space="0" w:color="auto"/>
            <w:right w:val="none" w:sz="0" w:space="0" w:color="auto"/>
          </w:divBdr>
        </w:div>
        <w:div w:id="885410369">
          <w:marLeft w:val="547"/>
          <w:marRight w:val="0"/>
          <w:marTop w:val="86"/>
          <w:marBottom w:val="0"/>
          <w:divBdr>
            <w:top w:val="none" w:sz="0" w:space="0" w:color="auto"/>
            <w:left w:val="none" w:sz="0" w:space="0" w:color="auto"/>
            <w:bottom w:val="none" w:sz="0" w:space="0" w:color="auto"/>
            <w:right w:val="none" w:sz="0" w:space="0" w:color="auto"/>
          </w:divBdr>
        </w:div>
        <w:div w:id="892162208">
          <w:marLeft w:val="1800"/>
          <w:marRight w:val="0"/>
          <w:marTop w:val="86"/>
          <w:marBottom w:val="0"/>
          <w:divBdr>
            <w:top w:val="none" w:sz="0" w:space="0" w:color="auto"/>
            <w:left w:val="none" w:sz="0" w:space="0" w:color="auto"/>
            <w:bottom w:val="none" w:sz="0" w:space="0" w:color="auto"/>
            <w:right w:val="none" w:sz="0" w:space="0" w:color="auto"/>
          </w:divBdr>
        </w:div>
        <w:div w:id="1089734654">
          <w:marLeft w:val="2520"/>
          <w:marRight w:val="0"/>
          <w:marTop w:val="86"/>
          <w:marBottom w:val="0"/>
          <w:divBdr>
            <w:top w:val="none" w:sz="0" w:space="0" w:color="auto"/>
            <w:left w:val="none" w:sz="0" w:space="0" w:color="auto"/>
            <w:bottom w:val="none" w:sz="0" w:space="0" w:color="auto"/>
            <w:right w:val="none" w:sz="0" w:space="0" w:color="auto"/>
          </w:divBdr>
        </w:div>
        <w:div w:id="1090734279">
          <w:marLeft w:val="1166"/>
          <w:marRight w:val="0"/>
          <w:marTop w:val="86"/>
          <w:marBottom w:val="0"/>
          <w:divBdr>
            <w:top w:val="none" w:sz="0" w:space="0" w:color="auto"/>
            <w:left w:val="none" w:sz="0" w:space="0" w:color="auto"/>
            <w:bottom w:val="none" w:sz="0" w:space="0" w:color="auto"/>
            <w:right w:val="none" w:sz="0" w:space="0" w:color="auto"/>
          </w:divBdr>
        </w:div>
      </w:divsChild>
    </w:div>
    <w:div w:id="185874055">
      <w:bodyDiv w:val="1"/>
      <w:marLeft w:val="0"/>
      <w:marRight w:val="0"/>
      <w:marTop w:val="0"/>
      <w:marBottom w:val="0"/>
      <w:divBdr>
        <w:top w:val="none" w:sz="0" w:space="0" w:color="auto"/>
        <w:left w:val="none" w:sz="0" w:space="0" w:color="auto"/>
        <w:bottom w:val="none" w:sz="0" w:space="0" w:color="auto"/>
        <w:right w:val="none" w:sz="0" w:space="0" w:color="auto"/>
      </w:divBdr>
    </w:div>
    <w:div w:id="188108686">
      <w:bodyDiv w:val="1"/>
      <w:marLeft w:val="0"/>
      <w:marRight w:val="0"/>
      <w:marTop w:val="0"/>
      <w:marBottom w:val="0"/>
      <w:divBdr>
        <w:top w:val="none" w:sz="0" w:space="0" w:color="auto"/>
        <w:left w:val="none" w:sz="0" w:space="0" w:color="auto"/>
        <w:bottom w:val="none" w:sz="0" w:space="0" w:color="auto"/>
        <w:right w:val="none" w:sz="0" w:space="0" w:color="auto"/>
      </w:divBdr>
    </w:div>
    <w:div w:id="196041709">
      <w:bodyDiv w:val="1"/>
      <w:marLeft w:val="0"/>
      <w:marRight w:val="0"/>
      <w:marTop w:val="0"/>
      <w:marBottom w:val="0"/>
      <w:divBdr>
        <w:top w:val="none" w:sz="0" w:space="0" w:color="auto"/>
        <w:left w:val="none" w:sz="0" w:space="0" w:color="auto"/>
        <w:bottom w:val="none" w:sz="0" w:space="0" w:color="auto"/>
        <w:right w:val="none" w:sz="0" w:space="0" w:color="auto"/>
      </w:divBdr>
    </w:div>
    <w:div w:id="206337776">
      <w:bodyDiv w:val="1"/>
      <w:marLeft w:val="0"/>
      <w:marRight w:val="0"/>
      <w:marTop w:val="0"/>
      <w:marBottom w:val="0"/>
      <w:divBdr>
        <w:top w:val="none" w:sz="0" w:space="0" w:color="auto"/>
        <w:left w:val="none" w:sz="0" w:space="0" w:color="auto"/>
        <w:bottom w:val="none" w:sz="0" w:space="0" w:color="auto"/>
        <w:right w:val="none" w:sz="0" w:space="0" w:color="auto"/>
      </w:divBdr>
    </w:div>
    <w:div w:id="216280887">
      <w:bodyDiv w:val="1"/>
      <w:marLeft w:val="0"/>
      <w:marRight w:val="0"/>
      <w:marTop w:val="0"/>
      <w:marBottom w:val="0"/>
      <w:divBdr>
        <w:top w:val="none" w:sz="0" w:space="0" w:color="auto"/>
        <w:left w:val="none" w:sz="0" w:space="0" w:color="auto"/>
        <w:bottom w:val="none" w:sz="0" w:space="0" w:color="auto"/>
        <w:right w:val="none" w:sz="0" w:space="0" w:color="auto"/>
      </w:divBdr>
    </w:div>
    <w:div w:id="246115281">
      <w:bodyDiv w:val="1"/>
      <w:marLeft w:val="0"/>
      <w:marRight w:val="0"/>
      <w:marTop w:val="0"/>
      <w:marBottom w:val="0"/>
      <w:divBdr>
        <w:top w:val="none" w:sz="0" w:space="0" w:color="auto"/>
        <w:left w:val="none" w:sz="0" w:space="0" w:color="auto"/>
        <w:bottom w:val="none" w:sz="0" w:space="0" w:color="auto"/>
        <w:right w:val="none" w:sz="0" w:space="0" w:color="auto"/>
      </w:divBdr>
    </w:div>
    <w:div w:id="256132966">
      <w:bodyDiv w:val="1"/>
      <w:marLeft w:val="0"/>
      <w:marRight w:val="0"/>
      <w:marTop w:val="0"/>
      <w:marBottom w:val="0"/>
      <w:divBdr>
        <w:top w:val="none" w:sz="0" w:space="0" w:color="auto"/>
        <w:left w:val="none" w:sz="0" w:space="0" w:color="auto"/>
        <w:bottom w:val="none" w:sz="0" w:space="0" w:color="auto"/>
        <w:right w:val="none" w:sz="0" w:space="0" w:color="auto"/>
      </w:divBdr>
      <w:divsChild>
        <w:div w:id="910122518">
          <w:marLeft w:val="1166"/>
          <w:marRight w:val="0"/>
          <w:marTop w:val="86"/>
          <w:marBottom w:val="0"/>
          <w:divBdr>
            <w:top w:val="none" w:sz="0" w:space="0" w:color="auto"/>
            <w:left w:val="none" w:sz="0" w:space="0" w:color="auto"/>
            <w:bottom w:val="none" w:sz="0" w:space="0" w:color="auto"/>
            <w:right w:val="none" w:sz="0" w:space="0" w:color="auto"/>
          </w:divBdr>
        </w:div>
      </w:divsChild>
    </w:div>
    <w:div w:id="258609205">
      <w:bodyDiv w:val="1"/>
      <w:marLeft w:val="0"/>
      <w:marRight w:val="0"/>
      <w:marTop w:val="0"/>
      <w:marBottom w:val="0"/>
      <w:divBdr>
        <w:top w:val="none" w:sz="0" w:space="0" w:color="auto"/>
        <w:left w:val="none" w:sz="0" w:space="0" w:color="auto"/>
        <w:bottom w:val="none" w:sz="0" w:space="0" w:color="auto"/>
        <w:right w:val="none" w:sz="0" w:space="0" w:color="auto"/>
      </w:divBdr>
    </w:div>
    <w:div w:id="259140738">
      <w:bodyDiv w:val="1"/>
      <w:marLeft w:val="0"/>
      <w:marRight w:val="0"/>
      <w:marTop w:val="0"/>
      <w:marBottom w:val="0"/>
      <w:divBdr>
        <w:top w:val="none" w:sz="0" w:space="0" w:color="auto"/>
        <w:left w:val="none" w:sz="0" w:space="0" w:color="auto"/>
        <w:bottom w:val="none" w:sz="0" w:space="0" w:color="auto"/>
        <w:right w:val="none" w:sz="0" w:space="0" w:color="auto"/>
      </w:divBdr>
    </w:div>
    <w:div w:id="262881984">
      <w:bodyDiv w:val="1"/>
      <w:marLeft w:val="0"/>
      <w:marRight w:val="0"/>
      <w:marTop w:val="0"/>
      <w:marBottom w:val="0"/>
      <w:divBdr>
        <w:top w:val="none" w:sz="0" w:space="0" w:color="auto"/>
        <w:left w:val="none" w:sz="0" w:space="0" w:color="auto"/>
        <w:bottom w:val="none" w:sz="0" w:space="0" w:color="auto"/>
        <w:right w:val="none" w:sz="0" w:space="0" w:color="auto"/>
      </w:divBdr>
    </w:div>
    <w:div w:id="263153863">
      <w:bodyDiv w:val="1"/>
      <w:marLeft w:val="0"/>
      <w:marRight w:val="0"/>
      <w:marTop w:val="0"/>
      <w:marBottom w:val="0"/>
      <w:divBdr>
        <w:top w:val="none" w:sz="0" w:space="0" w:color="auto"/>
        <w:left w:val="none" w:sz="0" w:space="0" w:color="auto"/>
        <w:bottom w:val="none" w:sz="0" w:space="0" w:color="auto"/>
        <w:right w:val="none" w:sz="0" w:space="0" w:color="auto"/>
      </w:divBdr>
    </w:div>
    <w:div w:id="264070970">
      <w:bodyDiv w:val="1"/>
      <w:marLeft w:val="0"/>
      <w:marRight w:val="0"/>
      <w:marTop w:val="0"/>
      <w:marBottom w:val="0"/>
      <w:divBdr>
        <w:top w:val="none" w:sz="0" w:space="0" w:color="auto"/>
        <w:left w:val="none" w:sz="0" w:space="0" w:color="auto"/>
        <w:bottom w:val="none" w:sz="0" w:space="0" w:color="auto"/>
        <w:right w:val="none" w:sz="0" w:space="0" w:color="auto"/>
      </w:divBdr>
    </w:div>
    <w:div w:id="266154415">
      <w:bodyDiv w:val="1"/>
      <w:marLeft w:val="0"/>
      <w:marRight w:val="0"/>
      <w:marTop w:val="0"/>
      <w:marBottom w:val="0"/>
      <w:divBdr>
        <w:top w:val="none" w:sz="0" w:space="0" w:color="auto"/>
        <w:left w:val="none" w:sz="0" w:space="0" w:color="auto"/>
        <w:bottom w:val="none" w:sz="0" w:space="0" w:color="auto"/>
        <w:right w:val="none" w:sz="0" w:space="0" w:color="auto"/>
      </w:divBdr>
    </w:div>
    <w:div w:id="275869196">
      <w:bodyDiv w:val="1"/>
      <w:marLeft w:val="0"/>
      <w:marRight w:val="0"/>
      <w:marTop w:val="0"/>
      <w:marBottom w:val="0"/>
      <w:divBdr>
        <w:top w:val="none" w:sz="0" w:space="0" w:color="auto"/>
        <w:left w:val="none" w:sz="0" w:space="0" w:color="auto"/>
        <w:bottom w:val="none" w:sz="0" w:space="0" w:color="auto"/>
        <w:right w:val="none" w:sz="0" w:space="0" w:color="auto"/>
      </w:divBdr>
    </w:div>
    <w:div w:id="282537519">
      <w:bodyDiv w:val="1"/>
      <w:marLeft w:val="0"/>
      <w:marRight w:val="0"/>
      <w:marTop w:val="0"/>
      <w:marBottom w:val="0"/>
      <w:divBdr>
        <w:top w:val="none" w:sz="0" w:space="0" w:color="auto"/>
        <w:left w:val="none" w:sz="0" w:space="0" w:color="auto"/>
        <w:bottom w:val="none" w:sz="0" w:space="0" w:color="auto"/>
        <w:right w:val="none" w:sz="0" w:space="0" w:color="auto"/>
      </w:divBdr>
    </w:div>
    <w:div w:id="289628297">
      <w:bodyDiv w:val="1"/>
      <w:marLeft w:val="0"/>
      <w:marRight w:val="0"/>
      <w:marTop w:val="0"/>
      <w:marBottom w:val="0"/>
      <w:divBdr>
        <w:top w:val="none" w:sz="0" w:space="0" w:color="auto"/>
        <w:left w:val="none" w:sz="0" w:space="0" w:color="auto"/>
        <w:bottom w:val="none" w:sz="0" w:space="0" w:color="auto"/>
        <w:right w:val="none" w:sz="0" w:space="0" w:color="auto"/>
      </w:divBdr>
    </w:div>
    <w:div w:id="304045021">
      <w:bodyDiv w:val="1"/>
      <w:marLeft w:val="0"/>
      <w:marRight w:val="0"/>
      <w:marTop w:val="0"/>
      <w:marBottom w:val="0"/>
      <w:divBdr>
        <w:top w:val="none" w:sz="0" w:space="0" w:color="auto"/>
        <w:left w:val="none" w:sz="0" w:space="0" w:color="auto"/>
        <w:bottom w:val="none" w:sz="0" w:space="0" w:color="auto"/>
        <w:right w:val="none" w:sz="0" w:space="0" w:color="auto"/>
      </w:divBdr>
      <w:divsChild>
        <w:div w:id="421073347">
          <w:marLeft w:val="1800"/>
          <w:marRight w:val="0"/>
          <w:marTop w:val="106"/>
          <w:marBottom w:val="0"/>
          <w:divBdr>
            <w:top w:val="none" w:sz="0" w:space="0" w:color="auto"/>
            <w:left w:val="none" w:sz="0" w:space="0" w:color="auto"/>
            <w:bottom w:val="none" w:sz="0" w:space="0" w:color="auto"/>
            <w:right w:val="none" w:sz="0" w:space="0" w:color="auto"/>
          </w:divBdr>
        </w:div>
        <w:div w:id="799226393">
          <w:marLeft w:val="1800"/>
          <w:marRight w:val="0"/>
          <w:marTop w:val="106"/>
          <w:marBottom w:val="0"/>
          <w:divBdr>
            <w:top w:val="none" w:sz="0" w:space="0" w:color="auto"/>
            <w:left w:val="none" w:sz="0" w:space="0" w:color="auto"/>
            <w:bottom w:val="none" w:sz="0" w:space="0" w:color="auto"/>
            <w:right w:val="none" w:sz="0" w:space="0" w:color="auto"/>
          </w:divBdr>
        </w:div>
        <w:div w:id="1645352115">
          <w:marLeft w:val="1800"/>
          <w:marRight w:val="0"/>
          <w:marTop w:val="106"/>
          <w:marBottom w:val="0"/>
          <w:divBdr>
            <w:top w:val="none" w:sz="0" w:space="0" w:color="auto"/>
            <w:left w:val="none" w:sz="0" w:space="0" w:color="auto"/>
            <w:bottom w:val="none" w:sz="0" w:space="0" w:color="auto"/>
            <w:right w:val="none" w:sz="0" w:space="0" w:color="auto"/>
          </w:divBdr>
        </w:div>
        <w:div w:id="1796631693">
          <w:marLeft w:val="2520"/>
          <w:marRight w:val="0"/>
          <w:marTop w:val="91"/>
          <w:marBottom w:val="0"/>
          <w:divBdr>
            <w:top w:val="none" w:sz="0" w:space="0" w:color="auto"/>
            <w:left w:val="none" w:sz="0" w:space="0" w:color="auto"/>
            <w:bottom w:val="none" w:sz="0" w:space="0" w:color="auto"/>
            <w:right w:val="none" w:sz="0" w:space="0" w:color="auto"/>
          </w:divBdr>
        </w:div>
        <w:div w:id="2144618388">
          <w:marLeft w:val="1800"/>
          <w:marRight w:val="0"/>
          <w:marTop w:val="106"/>
          <w:marBottom w:val="0"/>
          <w:divBdr>
            <w:top w:val="none" w:sz="0" w:space="0" w:color="auto"/>
            <w:left w:val="none" w:sz="0" w:space="0" w:color="auto"/>
            <w:bottom w:val="none" w:sz="0" w:space="0" w:color="auto"/>
            <w:right w:val="none" w:sz="0" w:space="0" w:color="auto"/>
          </w:divBdr>
        </w:div>
      </w:divsChild>
    </w:div>
    <w:div w:id="304506831">
      <w:bodyDiv w:val="1"/>
      <w:marLeft w:val="0"/>
      <w:marRight w:val="0"/>
      <w:marTop w:val="0"/>
      <w:marBottom w:val="0"/>
      <w:divBdr>
        <w:top w:val="none" w:sz="0" w:space="0" w:color="auto"/>
        <w:left w:val="none" w:sz="0" w:space="0" w:color="auto"/>
        <w:bottom w:val="none" w:sz="0" w:space="0" w:color="auto"/>
        <w:right w:val="none" w:sz="0" w:space="0" w:color="auto"/>
      </w:divBdr>
    </w:div>
    <w:div w:id="309602568">
      <w:bodyDiv w:val="1"/>
      <w:marLeft w:val="0"/>
      <w:marRight w:val="0"/>
      <w:marTop w:val="0"/>
      <w:marBottom w:val="0"/>
      <w:divBdr>
        <w:top w:val="none" w:sz="0" w:space="0" w:color="auto"/>
        <w:left w:val="none" w:sz="0" w:space="0" w:color="auto"/>
        <w:bottom w:val="none" w:sz="0" w:space="0" w:color="auto"/>
        <w:right w:val="none" w:sz="0" w:space="0" w:color="auto"/>
      </w:divBdr>
    </w:div>
    <w:div w:id="313335476">
      <w:bodyDiv w:val="1"/>
      <w:marLeft w:val="0"/>
      <w:marRight w:val="0"/>
      <w:marTop w:val="0"/>
      <w:marBottom w:val="0"/>
      <w:divBdr>
        <w:top w:val="none" w:sz="0" w:space="0" w:color="auto"/>
        <w:left w:val="none" w:sz="0" w:space="0" w:color="auto"/>
        <w:bottom w:val="none" w:sz="0" w:space="0" w:color="auto"/>
        <w:right w:val="none" w:sz="0" w:space="0" w:color="auto"/>
      </w:divBdr>
    </w:div>
    <w:div w:id="315376651">
      <w:bodyDiv w:val="1"/>
      <w:marLeft w:val="0"/>
      <w:marRight w:val="0"/>
      <w:marTop w:val="0"/>
      <w:marBottom w:val="0"/>
      <w:divBdr>
        <w:top w:val="none" w:sz="0" w:space="0" w:color="auto"/>
        <w:left w:val="none" w:sz="0" w:space="0" w:color="auto"/>
        <w:bottom w:val="none" w:sz="0" w:space="0" w:color="auto"/>
        <w:right w:val="none" w:sz="0" w:space="0" w:color="auto"/>
      </w:divBdr>
    </w:div>
    <w:div w:id="354114636">
      <w:bodyDiv w:val="1"/>
      <w:marLeft w:val="0"/>
      <w:marRight w:val="0"/>
      <w:marTop w:val="0"/>
      <w:marBottom w:val="0"/>
      <w:divBdr>
        <w:top w:val="none" w:sz="0" w:space="0" w:color="auto"/>
        <w:left w:val="none" w:sz="0" w:space="0" w:color="auto"/>
        <w:bottom w:val="none" w:sz="0" w:space="0" w:color="auto"/>
        <w:right w:val="none" w:sz="0" w:space="0" w:color="auto"/>
      </w:divBdr>
    </w:div>
    <w:div w:id="355617457">
      <w:bodyDiv w:val="1"/>
      <w:marLeft w:val="0"/>
      <w:marRight w:val="0"/>
      <w:marTop w:val="0"/>
      <w:marBottom w:val="0"/>
      <w:divBdr>
        <w:top w:val="none" w:sz="0" w:space="0" w:color="auto"/>
        <w:left w:val="none" w:sz="0" w:space="0" w:color="auto"/>
        <w:bottom w:val="none" w:sz="0" w:space="0" w:color="auto"/>
        <w:right w:val="none" w:sz="0" w:space="0" w:color="auto"/>
      </w:divBdr>
    </w:div>
    <w:div w:id="355695337">
      <w:bodyDiv w:val="1"/>
      <w:marLeft w:val="0"/>
      <w:marRight w:val="0"/>
      <w:marTop w:val="0"/>
      <w:marBottom w:val="0"/>
      <w:divBdr>
        <w:top w:val="none" w:sz="0" w:space="0" w:color="auto"/>
        <w:left w:val="none" w:sz="0" w:space="0" w:color="auto"/>
        <w:bottom w:val="none" w:sz="0" w:space="0" w:color="auto"/>
        <w:right w:val="none" w:sz="0" w:space="0" w:color="auto"/>
      </w:divBdr>
      <w:divsChild>
        <w:div w:id="60949541">
          <w:marLeft w:val="547"/>
          <w:marRight w:val="72"/>
          <w:marTop w:val="0"/>
          <w:marBottom w:val="0"/>
          <w:divBdr>
            <w:top w:val="none" w:sz="0" w:space="0" w:color="auto"/>
            <w:left w:val="none" w:sz="0" w:space="0" w:color="auto"/>
            <w:bottom w:val="none" w:sz="0" w:space="0" w:color="auto"/>
            <w:right w:val="none" w:sz="0" w:space="0" w:color="auto"/>
          </w:divBdr>
        </w:div>
      </w:divsChild>
    </w:div>
    <w:div w:id="368460249">
      <w:bodyDiv w:val="1"/>
      <w:marLeft w:val="0"/>
      <w:marRight w:val="0"/>
      <w:marTop w:val="0"/>
      <w:marBottom w:val="0"/>
      <w:divBdr>
        <w:top w:val="none" w:sz="0" w:space="0" w:color="auto"/>
        <w:left w:val="none" w:sz="0" w:space="0" w:color="auto"/>
        <w:bottom w:val="none" w:sz="0" w:space="0" w:color="auto"/>
        <w:right w:val="none" w:sz="0" w:space="0" w:color="auto"/>
      </w:divBdr>
    </w:div>
    <w:div w:id="370109885">
      <w:bodyDiv w:val="1"/>
      <w:marLeft w:val="0"/>
      <w:marRight w:val="0"/>
      <w:marTop w:val="0"/>
      <w:marBottom w:val="0"/>
      <w:divBdr>
        <w:top w:val="none" w:sz="0" w:space="0" w:color="auto"/>
        <w:left w:val="none" w:sz="0" w:space="0" w:color="auto"/>
        <w:bottom w:val="none" w:sz="0" w:space="0" w:color="auto"/>
        <w:right w:val="none" w:sz="0" w:space="0" w:color="auto"/>
      </w:divBdr>
    </w:div>
    <w:div w:id="372733422">
      <w:bodyDiv w:val="1"/>
      <w:marLeft w:val="0"/>
      <w:marRight w:val="0"/>
      <w:marTop w:val="0"/>
      <w:marBottom w:val="0"/>
      <w:divBdr>
        <w:top w:val="none" w:sz="0" w:space="0" w:color="auto"/>
        <w:left w:val="none" w:sz="0" w:space="0" w:color="auto"/>
        <w:bottom w:val="none" w:sz="0" w:space="0" w:color="auto"/>
        <w:right w:val="none" w:sz="0" w:space="0" w:color="auto"/>
      </w:divBdr>
    </w:div>
    <w:div w:id="377435252">
      <w:bodyDiv w:val="1"/>
      <w:marLeft w:val="0"/>
      <w:marRight w:val="0"/>
      <w:marTop w:val="0"/>
      <w:marBottom w:val="0"/>
      <w:divBdr>
        <w:top w:val="none" w:sz="0" w:space="0" w:color="auto"/>
        <w:left w:val="none" w:sz="0" w:space="0" w:color="auto"/>
        <w:bottom w:val="none" w:sz="0" w:space="0" w:color="auto"/>
        <w:right w:val="none" w:sz="0" w:space="0" w:color="auto"/>
      </w:divBdr>
    </w:div>
    <w:div w:id="382674471">
      <w:bodyDiv w:val="1"/>
      <w:marLeft w:val="0"/>
      <w:marRight w:val="0"/>
      <w:marTop w:val="0"/>
      <w:marBottom w:val="0"/>
      <w:divBdr>
        <w:top w:val="none" w:sz="0" w:space="0" w:color="auto"/>
        <w:left w:val="none" w:sz="0" w:space="0" w:color="auto"/>
        <w:bottom w:val="none" w:sz="0" w:space="0" w:color="auto"/>
        <w:right w:val="none" w:sz="0" w:space="0" w:color="auto"/>
      </w:divBdr>
    </w:div>
    <w:div w:id="394666927">
      <w:bodyDiv w:val="1"/>
      <w:marLeft w:val="0"/>
      <w:marRight w:val="0"/>
      <w:marTop w:val="0"/>
      <w:marBottom w:val="0"/>
      <w:divBdr>
        <w:top w:val="none" w:sz="0" w:space="0" w:color="auto"/>
        <w:left w:val="none" w:sz="0" w:space="0" w:color="auto"/>
        <w:bottom w:val="none" w:sz="0" w:space="0" w:color="auto"/>
        <w:right w:val="none" w:sz="0" w:space="0" w:color="auto"/>
      </w:divBdr>
    </w:div>
    <w:div w:id="396897165">
      <w:bodyDiv w:val="1"/>
      <w:marLeft w:val="0"/>
      <w:marRight w:val="0"/>
      <w:marTop w:val="0"/>
      <w:marBottom w:val="0"/>
      <w:divBdr>
        <w:top w:val="none" w:sz="0" w:space="0" w:color="auto"/>
        <w:left w:val="none" w:sz="0" w:space="0" w:color="auto"/>
        <w:bottom w:val="none" w:sz="0" w:space="0" w:color="auto"/>
        <w:right w:val="none" w:sz="0" w:space="0" w:color="auto"/>
      </w:divBdr>
    </w:div>
    <w:div w:id="397288025">
      <w:bodyDiv w:val="1"/>
      <w:marLeft w:val="0"/>
      <w:marRight w:val="0"/>
      <w:marTop w:val="0"/>
      <w:marBottom w:val="0"/>
      <w:divBdr>
        <w:top w:val="none" w:sz="0" w:space="0" w:color="auto"/>
        <w:left w:val="none" w:sz="0" w:space="0" w:color="auto"/>
        <w:bottom w:val="none" w:sz="0" w:space="0" w:color="auto"/>
        <w:right w:val="none" w:sz="0" w:space="0" w:color="auto"/>
      </w:divBdr>
      <w:divsChild>
        <w:div w:id="217136667">
          <w:marLeft w:val="2520"/>
          <w:marRight w:val="0"/>
          <w:marTop w:val="86"/>
          <w:marBottom w:val="0"/>
          <w:divBdr>
            <w:top w:val="none" w:sz="0" w:space="0" w:color="auto"/>
            <w:left w:val="none" w:sz="0" w:space="0" w:color="auto"/>
            <w:bottom w:val="none" w:sz="0" w:space="0" w:color="auto"/>
            <w:right w:val="none" w:sz="0" w:space="0" w:color="auto"/>
          </w:divBdr>
        </w:div>
        <w:div w:id="914971832">
          <w:marLeft w:val="2520"/>
          <w:marRight w:val="0"/>
          <w:marTop w:val="86"/>
          <w:marBottom w:val="0"/>
          <w:divBdr>
            <w:top w:val="none" w:sz="0" w:space="0" w:color="auto"/>
            <w:left w:val="none" w:sz="0" w:space="0" w:color="auto"/>
            <w:bottom w:val="none" w:sz="0" w:space="0" w:color="auto"/>
            <w:right w:val="none" w:sz="0" w:space="0" w:color="auto"/>
          </w:divBdr>
        </w:div>
        <w:div w:id="1937207057">
          <w:marLeft w:val="2520"/>
          <w:marRight w:val="0"/>
          <w:marTop w:val="86"/>
          <w:marBottom w:val="0"/>
          <w:divBdr>
            <w:top w:val="none" w:sz="0" w:space="0" w:color="auto"/>
            <w:left w:val="none" w:sz="0" w:space="0" w:color="auto"/>
            <w:bottom w:val="none" w:sz="0" w:space="0" w:color="auto"/>
            <w:right w:val="none" w:sz="0" w:space="0" w:color="auto"/>
          </w:divBdr>
        </w:div>
      </w:divsChild>
    </w:div>
    <w:div w:id="403723174">
      <w:bodyDiv w:val="1"/>
      <w:marLeft w:val="0"/>
      <w:marRight w:val="0"/>
      <w:marTop w:val="0"/>
      <w:marBottom w:val="0"/>
      <w:divBdr>
        <w:top w:val="none" w:sz="0" w:space="0" w:color="auto"/>
        <w:left w:val="none" w:sz="0" w:space="0" w:color="auto"/>
        <w:bottom w:val="none" w:sz="0" w:space="0" w:color="auto"/>
        <w:right w:val="none" w:sz="0" w:space="0" w:color="auto"/>
      </w:divBdr>
    </w:div>
    <w:div w:id="405029644">
      <w:bodyDiv w:val="1"/>
      <w:marLeft w:val="0"/>
      <w:marRight w:val="0"/>
      <w:marTop w:val="0"/>
      <w:marBottom w:val="0"/>
      <w:divBdr>
        <w:top w:val="none" w:sz="0" w:space="0" w:color="auto"/>
        <w:left w:val="none" w:sz="0" w:space="0" w:color="auto"/>
        <w:bottom w:val="none" w:sz="0" w:space="0" w:color="auto"/>
        <w:right w:val="none" w:sz="0" w:space="0" w:color="auto"/>
      </w:divBdr>
    </w:div>
    <w:div w:id="424956761">
      <w:bodyDiv w:val="1"/>
      <w:marLeft w:val="0"/>
      <w:marRight w:val="0"/>
      <w:marTop w:val="0"/>
      <w:marBottom w:val="0"/>
      <w:divBdr>
        <w:top w:val="none" w:sz="0" w:space="0" w:color="auto"/>
        <w:left w:val="none" w:sz="0" w:space="0" w:color="auto"/>
        <w:bottom w:val="none" w:sz="0" w:space="0" w:color="auto"/>
        <w:right w:val="none" w:sz="0" w:space="0" w:color="auto"/>
      </w:divBdr>
    </w:div>
    <w:div w:id="433282250">
      <w:bodyDiv w:val="1"/>
      <w:marLeft w:val="0"/>
      <w:marRight w:val="0"/>
      <w:marTop w:val="0"/>
      <w:marBottom w:val="0"/>
      <w:divBdr>
        <w:top w:val="none" w:sz="0" w:space="0" w:color="auto"/>
        <w:left w:val="none" w:sz="0" w:space="0" w:color="auto"/>
        <w:bottom w:val="none" w:sz="0" w:space="0" w:color="auto"/>
        <w:right w:val="none" w:sz="0" w:space="0" w:color="auto"/>
      </w:divBdr>
    </w:div>
    <w:div w:id="434793972">
      <w:bodyDiv w:val="1"/>
      <w:marLeft w:val="0"/>
      <w:marRight w:val="0"/>
      <w:marTop w:val="0"/>
      <w:marBottom w:val="0"/>
      <w:divBdr>
        <w:top w:val="none" w:sz="0" w:space="0" w:color="auto"/>
        <w:left w:val="none" w:sz="0" w:space="0" w:color="auto"/>
        <w:bottom w:val="none" w:sz="0" w:space="0" w:color="auto"/>
        <w:right w:val="none" w:sz="0" w:space="0" w:color="auto"/>
      </w:divBdr>
    </w:div>
    <w:div w:id="438335044">
      <w:bodyDiv w:val="1"/>
      <w:marLeft w:val="0"/>
      <w:marRight w:val="0"/>
      <w:marTop w:val="0"/>
      <w:marBottom w:val="0"/>
      <w:divBdr>
        <w:top w:val="none" w:sz="0" w:space="0" w:color="auto"/>
        <w:left w:val="none" w:sz="0" w:space="0" w:color="auto"/>
        <w:bottom w:val="none" w:sz="0" w:space="0" w:color="auto"/>
        <w:right w:val="none" w:sz="0" w:space="0" w:color="auto"/>
      </w:divBdr>
    </w:div>
    <w:div w:id="444540879">
      <w:bodyDiv w:val="1"/>
      <w:marLeft w:val="0"/>
      <w:marRight w:val="0"/>
      <w:marTop w:val="0"/>
      <w:marBottom w:val="0"/>
      <w:divBdr>
        <w:top w:val="none" w:sz="0" w:space="0" w:color="auto"/>
        <w:left w:val="none" w:sz="0" w:space="0" w:color="auto"/>
        <w:bottom w:val="none" w:sz="0" w:space="0" w:color="auto"/>
        <w:right w:val="none" w:sz="0" w:space="0" w:color="auto"/>
      </w:divBdr>
    </w:div>
    <w:div w:id="444737496">
      <w:bodyDiv w:val="1"/>
      <w:marLeft w:val="0"/>
      <w:marRight w:val="0"/>
      <w:marTop w:val="0"/>
      <w:marBottom w:val="0"/>
      <w:divBdr>
        <w:top w:val="none" w:sz="0" w:space="0" w:color="auto"/>
        <w:left w:val="none" w:sz="0" w:space="0" w:color="auto"/>
        <w:bottom w:val="none" w:sz="0" w:space="0" w:color="auto"/>
        <w:right w:val="none" w:sz="0" w:space="0" w:color="auto"/>
      </w:divBdr>
    </w:div>
    <w:div w:id="450592542">
      <w:bodyDiv w:val="1"/>
      <w:marLeft w:val="0"/>
      <w:marRight w:val="0"/>
      <w:marTop w:val="0"/>
      <w:marBottom w:val="0"/>
      <w:divBdr>
        <w:top w:val="none" w:sz="0" w:space="0" w:color="auto"/>
        <w:left w:val="none" w:sz="0" w:space="0" w:color="auto"/>
        <w:bottom w:val="none" w:sz="0" w:space="0" w:color="auto"/>
        <w:right w:val="none" w:sz="0" w:space="0" w:color="auto"/>
      </w:divBdr>
    </w:div>
    <w:div w:id="460660320">
      <w:bodyDiv w:val="1"/>
      <w:marLeft w:val="0"/>
      <w:marRight w:val="0"/>
      <w:marTop w:val="0"/>
      <w:marBottom w:val="0"/>
      <w:divBdr>
        <w:top w:val="none" w:sz="0" w:space="0" w:color="auto"/>
        <w:left w:val="none" w:sz="0" w:space="0" w:color="auto"/>
        <w:bottom w:val="none" w:sz="0" w:space="0" w:color="auto"/>
        <w:right w:val="none" w:sz="0" w:space="0" w:color="auto"/>
      </w:divBdr>
    </w:div>
    <w:div w:id="481118392">
      <w:bodyDiv w:val="1"/>
      <w:marLeft w:val="0"/>
      <w:marRight w:val="0"/>
      <w:marTop w:val="0"/>
      <w:marBottom w:val="0"/>
      <w:divBdr>
        <w:top w:val="none" w:sz="0" w:space="0" w:color="auto"/>
        <w:left w:val="none" w:sz="0" w:space="0" w:color="auto"/>
        <w:bottom w:val="none" w:sz="0" w:space="0" w:color="auto"/>
        <w:right w:val="none" w:sz="0" w:space="0" w:color="auto"/>
      </w:divBdr>
    </w:div>
    <w:div w:id="488833739">
      <w:bodyDiv w:val="1"/>
      <w:marLeft w:val="0"/>
      <w:marRight w:val="0"/>
      <w:marTop w:val="0"/>
      <w:marBottom w:val="0"/>
      <w:divBdr>
        <w:top w:val="none" w:sz="0" w:space="0" w:color="auto"/>
        <w:left w:val="none" w:sz="0" w:space="0" w:color="auto"/>
        <w:bottom w:val="none" w:sz="0" w:space="0" w:color="auto"/>
        <w:right w:val="none" w:sz="0" w:space="0" w:color="auto"/>
      </w:divBdr>
    </w:div>
    <w:div w:id="500395367">
      <w:bodyDiv w:val="1"/>
      <w:marLeft w:val="0"/>
      <w:marRight w:val="0"/>
      <w:marTop w:val="0"/>
      <w:marBottom w:val="0"/>
      <w:divBdr>
        <w:top w:val="none" w:sz="0" w:space="0" w:color="auto"/>
        <w:left w:val="none" w:sz="0" w:space="0" w:color="auto"/>
        <w:bottom w:val="none" w:sz="0" w:space="0" w:color="auto"/>
        <w:right w:val="none" w:sz="0" w:space="0" w:color="auto"/>
      </w:divBdr>
    </w:div>
    <w:div w:id="501310832">
      <w:bodyDiv w:val="1"/>
      <w:marLeft w:val="0"/>
      <w:marRight w:val="0"/>
      <w:marTop w:val="0"/>
      <w:marBottom w:val="0"/>
      <w:divBdr>
        <w:top w:val="none" w:sz="0" w:space="0" w:color="auto"/>
        <w:left w:val="none" w:sz="0" w:space="0" w:color="auto"/>
        <w:bottom w:val="none" w:sz="0" w:space="0" w:color="auto"/>
        <w:right w:val="none" w:sz="0" w:space="0" w:color="auto"/>
      </w:divBdr>
    </w:div>
    <w:div w:id="509106339">
      <w:bodyDiv w:val="1"/>
      <w:marLeft w:val="0"/>
      <w:marRight w:val="0"/>
      <w:marTop w:val="0"/>
      <w:marBottom w:val="0"/>
      <w:divBdr>
        <w:top w:val="none" w:sz="0" w:space="0" w:color="auto"/>
        <w:left w:val="none" w:sz="0" w:space="0" w:color="auto"/>
        <w:bottom w:val="none" w:sz="0" w:space="0" w:color="auto"/>
        <w:right w:val="none" w:sz="0" w:space="0" w:color="auto"/>
      </w:divBdr>
    </w:div>
    <w:div w:id="509830145">
      <w:bodyDiv w:val="1"/>
      <w:marLeft w:val="0"/>
      <w:marRight w:val="0"/>
      <w:marTop w:val="0"/>
      <w:marBottom w:val="0"/>
      <w:divBdr>
        <w:top w:val="none" w:sz="0" w:space="0" w:color="auto"/>
        <w:left w:val="none" w:sz="0" w:space="0" w:color="auto"/>
        <w:bottom w:val="none" w:sz="0" w:space="0" w:color="auto"/>
        <w:right w:val="none" w:sz="0" w:space="0" w:color="auto"/>
      </w:divBdr>
    </w:div>
    <w:div w:id="511601896">
      <w:bodyDiv w:val="1"/>
      <w:marLeft w:val="0"/>
      <w:marRight w:val="0"/>
      <w:marTop w:val="0"/>
      <w:marBottom w:val="0"/>
      <w:divBdr>
        <w:top w:val="none" w:sz="0" w:space="0" w:color="auto"/>
        <w:left w:val="none" w:sz="0" w:space="0" w:color="auto"/>
        <w:bottom w:val="none" w:sz="0" w:space="0" w:color="auto"/>
        <w:right w:val="none" w:sz="0" w:space="0" w:color="auto"/>
      </w:divBdr>
    </w:div>
    <w:div w:id="514149102">
      <w:bodyDiv w:val="1"/>
      <w:marLeft w:val="0"/>
      <w:marRight w:val="0"/>
      <w:marTop w:val="0"/>
      <w:marBottom w:val="0"/>
      <w:divBdr>
        <w:top w:val="none" w:sz="0" w:space="0" w:color="auto"/>
        <w:left w:val="none" w:sz="0" w:space="0" w:color="auto"/>
        <w:bottom w:val="none" w:sz="0" w:space="0" w:color="auto"/>
        <w:right w:val="none" w:sz="0" w:space="0" w:color="auto"/>
      </w:divBdr>
    </w:div>
    <w:div w:id="532577380">
      <w:bodyDiv w:val="1"/>
      <w:marLeft w:val="0"/>
      <w:marRight w:val="0"/>
      <w:marTop w:val="0"/>
      <w:marBottom w:val="0"/>
      <w:divBdr>
        <w:top w:val="none" w:sz="0" w:space="0" w:color="auto"/>
        <w:left w:val="none" w:sz="0" w:space="0" w:color="auto"/>
        <w:bottom w:val="none" w:sz="0" w:space="0" w:color="auto"/>
        <w:right w:val="none" w:sz="0" w:space="0" w:color="auto"/>
      </w:divBdr>
    </w:div>
    <w:div w:id="541551910">
      <w:bodyDiv w:val="1"/>
      <w:marLeft w:val="0"/>
      <w:marRight w:val="0"/>
      <w:marTop w:val="0"/>
      <w:marBottom w:val="0"/>
      <w:divBdr>
        <w:top w:val="none" w:sz="0" w:space="0" w:color="auto"/>
        <w:left w:val="none" w:sz="0" w:space="0" w:color="auto"/>
        <w:bottom w:val="none" w:sz="0" w:space="0" w:color="auto"/>
        <w:right w:val="none" w:sz="0" w:space="0" w:color="auto"/>
      </w:divBdr>
    </w:div>
    <w:div w:id="549726364">
      <w:bodyDiv w:val="1"/>
      <w:marLeft w:val="0"/>
      <w:marRight w:val="0"/>
      <w:marTop w:val="0"/>
      <w:marBottom w:val="0"/>
      <w:divBdr>
        <w:top w:val="none" w:sz="0" w:space="0" w:color="auto"/>
        <w:left w:val="none" w:sz="0" w:space="0" w:color="auto"/>
        <w:bottom w:val="none" w:sz="0" w:space="0" w:color="auto"/>
        <w:right w:val="none" w:sz="0" w:space="0" w:color="auto"/>
      </w:divBdr>
    </w:div>
    <w:div w:id="555820687">
      <w:bodyDiv w:val="1"/>
      <w:marLeft w:val="0"/>
      <w:marRight w:val="0"/>
      <w:marTop w:val="0"/>
      <w:marBottom w:val="0"/>
      <w:divBdr>
        <w:top w:val="none" w:sz="0" w:space="0" w:color="auto"/>
        <w:left w:val="none" w:sz="0" w:space="0" w:color="auto"/>
        <w:bottom w:val="none" w:sz="0" w:space="0" w:color="auto"/>
        <w:right w:val="none" w:sz="0" w:space="0" w:color="auto"/>
      </w:divBdr>
    </w:div>
    <w:div w:id="557787982">
      <w:bodyDiv w:val="1"/>
      <w:marLeft w:val="0"/>
      <w:marRight w:val="0"/>
      <w:marTop w:val="0"/>
      <w:marBottom w:val="0"/>
      <w:divBdr>
        <w:top w:val="none" w:sz="0" w:space="0" w:color="auto"/>
        <w:left w:val="none" w:sz="0" w:space="0" w:color="auto"/>
        <w:bottom w:val="none" w:sz="0" w:space="0" w:color="auto"/>
        <w:right w:val="none" w:sz="0" w:space="0" w:color="auto"/>
      </w:divBdr>
    </w:div>
    <w:div w:id="563495646">
      <w:bodyDiv w:val="1"/>
      <w:marLeft w:val="0"/>
      <w:marRight w:val="0"/>
      <w:marTop w:val="0"/>
      <w:marBottom w:val="0"/>
      <w:divBdr>
        <w:top w:val="none" w:sz="0" w:space="0" w:color="auto"/>
        <w:left w:val="none" w:sz="0" w:space="0" w:color="auto"/>
        <w:bottom w:val="none" w:sz="0" w:space="0" w:color="auto"/>
        <w:right w:val="none" w:sz="0" w:space="0" w:color="auto"/>
      </w:divBdr>
      <w:divsChild>
        <w:div w:id="1472939341">
          <w:marLeft w:val="144"/>
          <w:marRight w:val="0"/>
          <w:marTop w:val="0"/>
          <w:marBottom w:val="0"/>
          <w:divBdr>
            <w:top w:val="none" w:sz="0" w:space="0" w:color="auto"/>
            <w:left w:val="none" w:sz="0" w:space="0" w:color="auto"/>
            <w:bottom w:val="none" w:sz="0" w:space="0" w:color="auto"/>
            <w:right w:val="none" w:sz="0" w:space="0" w:color="auto"/>
          </w:divBdr>
        </w:div>
        <w:div w:id="1908414836">
          <w:marLeft w:val="144"/>
          <w:marRight w:val="0"/>
          <w:marTop w:val="0"/>
          <w:marBottom w:val="0"/>
          <w:divBdr>
            <w:top w:val="none" w:sz="0" w:space="0" w:color="auto"/>
            <w:left w:val="none" w:sz="0" w:space="0" w:color="auto"/>
            <w:bottom w:val="none" w:sz="0" w:space="0" w:color="auto"/>
            <w:right w:val="none" w:sz="0" w:space="0" w:color="auto"/>
          </w:divBdr>
        </w:div>
        <w:div w:id="1064253643">
          <w:marLeft w:val="144"/>
          <w:marRight w:val="0"/>
          <w:marTop w:val="0"/>
          <w:marBottom w:val="0"/>
          <w:divBdr>
            <w:top w:val="none" w:sz="0" w:space="0" w:color="auto"/>
            <w:left w:val="none" w:sz="0" w:space="0" w:color="auto"/>
            <w:bottom w:val="none" w:sz="0" w:space="0" w:color="auto"/>
            <w:right w:val="none" w:sz="0" w:space="0" w:color="auto"/>
          </w:divBdr>
        </w:div>
        <w:div w:id="2120180326">
          <w:marLeft w:val="144"/>
          <w:marRight w:val="0"/>
          <w:marTop w:val="0"/>
          <w:marBottom w:val="0"/>
          <w:divBdr>
            <w:top w:val="none" w:sz="0" w:space="0" w:color="auto"/>
            <w:left w:val="none" w:sz="0" w:space="0" w:color="auto"/>
            <w:bottom w:val="none" w:sz="0" w:space="0" w:color="auto"/>
            <w:right w:val="none" w:sz="0" w:space="0" w:color="auto"/>
          </w:divBdr>
        </w:div>
      </w:divsChild>
    </w:div>
    <w:div w:id="571430897">
      <w:bodyDiv w:val="1"/>
      <w:marLeft w:val="0"/>
      <w:marRight w:val="0"/>
      <w:marTop w:val="0"/>
      <w:marBottom w:val="0"/>
      <w:divBdr>
        <w:top w:val="none" w:sz="0" w:space="0" w:color="auto"/>
        <w:left w:val="none" w:sz="0" w:space="0" w:color="auto"/>
        <w:bottom w:val="none" w:sz="0" w:space="0" w:color="auto"/>
        <w:right w:val="none" w:sz="0" w:space="0" w:color="auto"/>
      </w:divBdr>
    </w:div>
    <w:div w:id="580339134">
      <w:bodyDiv w:val="1"/>
      <w:marLeft w:val="0"/>
      <w:marRight w:val="0"/>
      <w:marTop w:val="0"/>
      <w:marBottom w:val="0"/>
      <w:divBdr>
        <w:top w:val="none" w:sz="0" w:space="0" w:color="auto"/>
        <w:left w:val="none" w:sz="0" w:space="0" w:color="auto"/>
        <w:bottom w:val="none" w:sz="0" w:space="0" w:color="auto"/>
        <w:right w:val="none" w:sz="0" w:space="0" w:color="auto"/>
      </w:divBdr>
    </w:div>
    <w:div w:id="584345028">
      <w:bodyDiv w:val="1"/>
      <w:marLeft w:val="0"/>
      <w:marRight w:val="0"/>
      <w:marTop w:val="0"/>
      <w:marBottom w:val="0"/>
      <w:divBdr>
        <w:top w:val="none" w:sz="0" w:space="0" w:color="auto"/>
        <w:left w:val="none" w:sz="0" w:space="0" w:color="auto"/>
        <w:bottom w:val="none" w:sz="0" w:space="0" w:color="auto"/>
        <w:right w:val="none" w:sz="0" w:space="0" w:color="auto"/>
      </w:divBdr>
    </w:div>
    <w:div w:id="589241283">
      <w:bodyDiv w:val="1"/>
      <w:marLeft w:val="0"/>
      <w:marRight w:val="0"/>
      <w:marTop w:val="0"/>
      <w:marBottom w:val="0"/>
      <w:divBdr>
        <w:top w:val="none" w:sz="0" w:space="0" w:color="auto"/>
        <w:left w:val="none" w:sz="0" w:space="0" w:color="auto"/>
        <w:bottom w:val="none" w:sz="0" w:space="0" w:color="auto"/>
        <w:right w:val="none" w:sz="0" w:space="0" w:color="auto"/>
      </w:divBdr>
    </w:div>
    <w:div w:id="605968617">
      <w:bodyDiv w:val="1"/>
      <w:marLeft w:val="0"/>
      <w:marRight w:val="0"/>
      <w:marTop w:val="0"/>
      <w:marBottom w:val="0"/>
      <w:divBdr>
        <w:top w:val="none" w:sz="0" w:space="0" w:color="auto"/>
        <w:left w:val="none" w:sz="0" w:space="0" w:color="auto"/>
        <w:bottom w:val="none" w:sz="0" w:space="0" w:color="auto"/>
        <w:right w:val="none" w:sz="0" w:space="0" w:color="auto"/>
      </w:divBdr>
    </w:div>
    <w:div w:id="673074863">
      <w:bodyDiv w:val="1"/>
      <w:marLeft w:val="0"/>
      <w:marRight w:val="0"/>
      <w:marTop w:val="0"/>
      <w:marBottom w:val="0"/>
      <w:divBdr>
        <w:top w:val="none" w:sz="0" w:space="0" w:color="auto"/>
        <w:left w:val="none" w:sz="0" w:space="0" w:color="auto"/>
        <w:bottom w:val="none" w:sz="0" w:space="0" w:color="auto"/>
        <w:right w:val="none" w:sz="0" w:space="0" w:color="auto"/>
      </w:divBdr>
    </w:div>
    <w:div w:id="686562362">
      <w:bodyDiv w:val="1"/>
      <w:marLeft w:val="0"/>
      <w:marRight w:val="0"/>
      <w:marTop w:val="0"/>
      <w:marBottom w:val="0"/>
      <w:divBdr>
        <w:top w:val="none" w:sz="0" w:space="0" w:color="auto"/>
        <w:left w:val="none" w:sz="0" w:space="0" w:color="auto"/>
        <w:bottom w:val="none" w:sz="0" w:space="0" w:color="auto"/>
        <w:right w:val="none" w:sz="0" w:space="0" w:color="auto"/>
      </w:divBdr>
    </w:div>
    <w:div w:id="697049495">
      <w:bodyDiv w:val="1"/>
      <w:marLeft w:val="0"/>
      <w:marRight w:val="0"/>
      <w:marTop w:val="0"/>
      <w:marBottom w:val="0"/>
      <w:divBdr>
        <w:top w:val="none" w:sz="0" w:space="0" w:color="auto"/>
        <w:left w:val="none" w:sz="0" w:space="0" w:color="auto"/>
        <w:bottom w:val="none" w:sz="0" w:space="0" w:color="auto"/>
        <w:right w:val="none" w:sz="0" w:space="0" w:color="auto"/>
      </w:divBdr>
    </w:div>
    <w:div w:id="710811072">
      <w:bodyDiv w:val="1"/>
      <w:marLeft w:val="0"/>
      <w:marRight w:val="0"/>
      <w:marTop w:val="0"/>
      <w:marBottom w:val="0"/>
      <w:divBdr>
        <w:top w:val="none" w:sz="0" w:space="0" w:color="auto"/>
        <w:left w:val="none" w:sz="0" w:space="0" w:color="auto"/>
        <w:bottom w:val="none" w:sz="0" w:space="0" w:color="auto"/>
        <w:right w:val="none" w:sz="0" w:space="0" w:color="auto"/>
      </w:divBdr>
    </w:div>
    <w:div w:id="717364594">
      <w:bodyDiv w:val="1"/>
      <w:marLeft w:val="0"/>
      <w:marRight w:val="0"/>
      <w:marTop w:val="0"/>
      <w:marBottom w:val="0"/>
      <w:divBdr>
        <w:top w:val="none" w:sz="0" w:space="0" w:color="auto"/>
        <w:left w:val="none" w:sz="0" w:space="0" w:color="auto"/>
        <w:bottom w:val="none" w:sz="0" w:space="0" w:color="auto"/>
        <w:right w:val="none" w:sz="0" w:space="0" w:color="auto"/>
      </w:divBdr>
    </w:div>
    <w:div w:id="717896979">
      <w:bodyDiv w:val="1"/>
      <w:marLeft w:val="0"/>
      <w:marRight w:val="0"/>
      <w:marTop w:val="0"/>
      <w:marBottom w:val="0"/>
      <w:divBdr>
        <w:top w:val="none" w:sz="0" w:space="0" w:color="auto"/>
        <w:left w:val="none" w:sz="0" w:space="0" w:color="auto"/>
        <w:bottom w:val="none" w:sz="0" w:space="0" w:color="auto"/>
        <w:right w:val="none" w:sz="0" w:space="0" w:color="auto"/>
      </w:divBdr>
    </w:div>
    <w:div w:id="725643182">
      <w:bodyDiv w:val="1"/>
      <w:marLeft w:val="0"/>
      <w:marRight w:val="0"/>
      <w:marTop w:val="0"/>
      <w:marBottom w:val="0"/>
      <w:divBdr>
        <w:top w:val="none" w:sz="0" w:space="0" w:color="auto"/>
        <w:left w:val="none" w:sz="0" w:space="0" w:color="auto"/>
        <w:bottom w:val="none" w:sz="0" w:space="0" w:color="auto"/>
        <w:right w:val="none" w:sz="0" w:space="0" w:color="auto"/>
      </w:divBdr>
    </w:div>
    <w:div w:id="731002999">
      <w:bodyDiv w:val="1"/>
      <w:marLeft w:val="0"/>
      <w:marRight w:val="0"/>
      <w:marTop w:val="0"/>
      <w:marBottom w:val="0"/>
      <w:divBdr>
        <w:top w:val="none" w:sz="0" w:space="0" w:color="auto"/>
        <w:left w:val="none" w:sz="0" w:space="0" w:color="auto"/>
        <w:bottom w:val="none" w:sz="0" w:space="0" w:color="auto"/>
        <w:right w:val="none" w:sz="0" w:space="0" w:color="auto"/>
      </w:divBdr>
    </w:div>
    <w:div w:id="738984156">
      <w:bodyDiv w:val="1"/>
      <w:marLeft w:val="0"/>
      <w:marRight w:val="0"/>
      <w:marTop w:val="0"/>
      <w:marBottom w:val="0"/>
      <w:divBdr>
        <w:top w:val="none" w:sz="0" w:space="0" w:color="auto"/>
        <w:left w:val="none" w:sz="0" w:space="0" w:color="auto"/>
        <w:bottom w:val="none" w:sz="0" w:space="0" w:color="auto"/>
        <w:right w:val="none" w:sz="0" w:space="0" w:color="auto"/>
      </w:divBdr>
    </w:div>
    <w:div w:id="740444127">
      <w:bodyDiv w:val="1"/>
      <w:marLeft w:val="0"/>
      <w:marRight w:val="0"/>
      <w:marTop w:val="0"/>
      <w:marBottom w:val="0"/>
      <w:divBdr>
        <w:top w:val="none" w:sz="0" w:space="0" w:color="auto"/>
        <w:left w:val="none" w:sz="0" w:space="0" w:color="auto"/>
        <w:bottom w:val="none" w:sz="0" w:space="0" w:color="auto"/>
        <w:right w:val="none" w:sz="0" w:space="0" w:color="auto"/>
      </w:divBdr>
    </w:div>
    <w:div w:id="763650592">
      <w:bodyDiv w:val="1"/>
      <w:marLeft w:val="0"/>
      <w:marRight w:val="0"/>
      <w:marTop w:val="0"/>
      <w:marBottom w:val="0"/>
      <w:divBdr>
        <w:top w:val="none" w:sz="0" w:space="0" w:color="auto"/>
        <w:left w:val="none" w:sz="0" w:space="0" w:color="auto"/>
        <w:bottom w:val="none" w:sz="0" w:space="0" w:color="auto"/>
        <w:right w:val="none" w:sz="0" w:space="0" w:color="auto"/>
      </w:divBdr>
    </w:div>
    <w:div w:id="768163805">
      <w:bodyDiv w:val="1"/>
      <w:marLeft w:val="0"/>
      <w:marRight w:val="0"/>
      <w:marTop w:val="0"/>
      <w:marBottom w:val="0"/>
      <w:divBdr>
        <w:top w:val="none" w:sz="0" w:space="0" w:color="auto"/>
        <w:left w:val="none" w:sz="0" w:space="0" w:color="auto"/>
        <w:bottom w:val="none" w:sz="0" w:space="0" w:color="auto"/>
        <w:right w:val="none" w:sz="0" w:space="0" w:color="auto"/>
      </w:divBdr>
    </w:div>
    <w:div w:id="769082405">
      <w:bodyDiv w:val="1"/>
      <w:marLeft w:val="0"/>
      <w:marRight w:val="0"/>
      <w:marTop w:val="0"/>
      <w:marBottom w:val="0"/>
      <w:divBdr>
        <w:top w:val="none" w:sz="0" w:space="0" w:color="auto"/>
        <w:left w:val="none" w:sz="0" w:space="0" w:color="auto"/>
        <w:bottom w:val="none" w:sz="0" w:space="0" w:color="auto"/>
        <w:right w:val="none" w:sz="0" w:space="0" w:color="auto"/>
      </w:divBdr>
    </w:div>
    <w:div w:id="780302597">
      <w:bodyDiv w:val="1"/>
      <w:marLeft w:val="0"/>
      <w:marRight w:val="0"/>
      <w:marTop w:val="0"/>
      <w:marBottom w:val="0"/>
      <w:divBdr>
        <w:top w:val="none" w:sz="0" w:space="0" w:color="auto"/>
        <w:left w:val="none" w:sz="0" w:space="0" w:color="auto"/>
        <w:bottom w:val="none" w:sz="0" w:space="0" w:color="auto"/>
        <w:right w:val="none" w:sz="0" w:space="0" w:color="auto"/>
      </w:divBdr>
    </w:div>
    <w:div w:id="785781654">
      <w:bodyDiv w:val="1"/>
      <w:marLeft w:val="0"/>
      <w:marRight w:val="0"/>
      <w:marTop w:val="0"/>
      <w:marBottom w:val="0"/>
      <w:divBdr>
        <w:top w:val="none" w:sz="0" w:space="0" w:color="auto"/>
        <w:left w:val="none" w:sz="0" w:space="0" w:color="auto"/>
        <w:bottom w:val="none" w:sz="0" w:space="0" w:color="auto"/>
        <w:right w:val="none" w:sz="0" w:space="0" w:color="auto"/>
      </w:divBdr>
    </w:div>
    <w:div w:id="792407945">
      <w:bodyDiv w:val="1"/>
      <w:marLeft w:val="0"/>
      <w:marRight w:val="0"/>
      <w:marTop w:val="0"/>
      <w:marBottom w:val="0"/>
      <w:divBdr>
        <w:top w:val="none" w:sz="0" w:space="0" w:color="auto"/>
        <w:left w:val="none" w:sz="0" w:space="0" w:color="auto"/>
        <w:bottom w:val="none" w:sz="0" w:space="0" w:color="auto"/>
        <w:right w:val="none" w:sz="0" w:space="0" w:color="auto"/>
      </w:divBdr>
    </w:div>
    <w:div w:id="803037590">
      <w:bodyDiv w:val="1"/>
      <w:marLeft w:val="0"/>
      <w:marRight w:val="0"/>
      <w:marTop w:val="0"/>
      <w:marBottom w:val="0"/>
      <w:divBdr>
        <w:top w:val="none" w:sz="0" w:space="0" w:color="auto"/>
        <w:left w:val="none" w:sz="0" w:space="0" w:color="auto"/>
        <w:bottom w:val="none" w:sz="0" w:space="0" w:color="auto"/>
        <w:right w:val="none" w:sz="0" w:space="0" w:color="auto"/>
      </w:divBdr>
    </w:div>
    <w:div w:id="804927360">
      <w:bodyDiv w:val="1"/>
      <w:marLeft w:val="0"/>
      <w:marRight w:val="0"/>
      <w:marTop w:val="0"/>
      <w:marBottom w:val="0"/>
      <w:divBdr>
        <w:top w:val="none" w:sz="0" w:space="0" w:color="auto"/>
        <w:left w:val="none" w:sz="0" w:space="0" w:color="auto"/>
        <w:bottom w:val="none" w:sz="0" w:space="0" w:color="auto"/>
        <w:right w:val="none" w:sz="0" w:space="0" w:color="auto"/>
      </w:divBdr>
    </w:div>
    <w:div w:id="805393135">
      <w:bodyDiv w:val="1"/>
      <w:marLeft w:val="0"/>
      <w:marRight w:val="0"/>
      <w:marTop w:val="0"/>
      <w:marBottom w:val="0"/>
      <w:divBdr>
        <w:top w:val="none" w:sz="0" w:space="0" w:color="auto"/>
        <w:left w:val="none" w:sz="0" w:space="0" w:color="auto"/>
        <w:bottom w:val="none" w:sz="0" w:space="0" w:color="auto"/>
        <w:right w:val="none" w:sz="0" w:space="0" w:color="auto"/>
      </w:divBdr>
    </w:div>
    <w:div w:id="808401649">
      <w:bodyDiv w:val="1"/>
      <w:marLeft w:val="0"/>
      <w:marRight w:val="0"/>
      <w:marTop w:val="0"/>
      <w:marBottom w:val="0"/>
      <w:divBdr>
        <w:top w:val="none" w:sz="0" w:space="0" w:color="auto"/>
        <w:left w:val="none" w:sz="0" w:space="0" w:color="auto"/>
        <w:bottom w:val="none" w:sz="0" w:space="0" w:color="auto"/>
        <w:right w:val="none" w:sz="0" w:space="0" w:color="auto"/>
      </w:divBdr>
    </w:div>
    <w:div w:id="829561617">
      <w:bodyDiv w:val="1"/>
      <w:marLeft w:val="0"/>
      <w:marRight w:val="0"/>
      <w:marTop w:val="0"/>
      <w:marBottom w:val="0"/>
      <w:divBdr>
        <w:top w:val="none" w:sz="0" w:space="0" w:color="auto"/>
        <w:left w:val="none" w:sz="0" w:space="0" w:color="auto"/>
        <w:bottom w:val="none" w:sz="0" w:space="0" w:color="auto"/>
        <w:right w:val="none" w:sz="0" w:space="0" w:color="auto"/>
      </w:divBdr>
    </w:div>
    <w:div w:id="838927911">
      <w:bodyDiv w:val="1"/>
      <w:marLeft w:val="0"/>
      <w:marRight w:val="0"/>
      <w:marTop w:val="0"/>
      <w:marBottom w:val="0"/>
      <w:divBdr>
        <w:top w:val="none" w:sz="0" w:space="0" w:color="auto"/>
        <w:left w:val="none" w:sz="0" w:space="0" w:color="auto"/>
        <w:bottom w:val="none" w:sz="0" w:space="0" w:color="auto"/>
        <w:right w:val="none" w:sz="0" w:space="0" w:color="auto"/>
      </w:divBdr>
    </w:div>
    <w:div w:id="847990041">
      <w:bodyDiv w:val="1"/>
      <w:marLeft w:val="0"/>
      <w:marRight w:val="0"/>
      <w:marTop w:val="0"/>
      <w:marBottom w:val="0"/>
      <w:divBdr>
        <w:top w:val="none" w:sz="0" w:space="0" w:color="auto"/>
        <w:left w:val="none" w:sz="0" w:space="0" w:color="auto"/>
        <w:bottom w:val="none" w:sz="0" w:space="0" w:color="auto"/>
        <w:right w:val="none" w:sz="0" w:space="0" w:color="auto"/>
      </w:divBdr>
      <w:divsChild>
        <w:div w:id="1161044805">
          <w:marLeft w:val="547"/>
          <w:marRight w:val="0"/>
          <w:marTop w:val="154"/>
          <w:marBottom w:val="0"/>
          <w:divBdr>
            <w:top w:val="none" w:sz="0" w:space="0" w:color="auto"/>
            <w:left w:val="none" w:sz="0" w:space="0" w:color="auto"/>
            <w:bottom w:val="none" w:sz="0" w:space="0" w:color="auto"/>
            <w:right w:val="none" w:sz="0" w:space="0" w:color="auto"/>
          </w:divBdr>
        </w:div>
      </w:divsChild>
    </w:div>
    <w:div w:id="850414545">
      <w:bodyDiv w:val="1"/>
      <w:marLeft w:val="0"/>
      <w:marRight w:val="0"/>
      <w:marTop w:val="0"/>
      <w:marBottom w:val="0"/>
      <w:divBdr>
        <w:top w:val="none" w:sz="0" w:space="0" w:color="auto"/>
        <w:left w:val="none" w:sz="0" w:space="0" w:color="auto"/>
        <w:bottom w:val="none" w:sz="0" w:space="0" w:color="auto"/>
        <w:right w:val="none" w:sz="0" w:space="0" w:color="auto"/>
      </w:divBdr>
    </w:div>
    <w:div w:id="857163770">
      <w:bodyDiv w:val="1"/>
      <w:marLeft w:val="0"/>
      <w:marRight w:val="0"/>
      <w:marTop w:val="0"/>
      <w:marBottom w:val="0"/>
      <w:divBdr>
        <w:top w:val="none" w:sz="0" w:space="0" w:color="auto"/>
        <w:left w:val="none" w:sz="0" w:space="0" w:color="auto"/>
        <w:bottom w:val="none" w:sz="0" w:space="0" w:color="auto"/>
        <w:right w:val="none" w:sz="0" w:space="0" w:color="auto"/>
      </w:divBdr>
    </w:div>
    <w:div w:id="858853243">
      <w:bodyDiv w:val="1"/>
      <w:marLeft w:val="0"/>
      <w:marRight w:val="0"/>
      <w:marTop w:val="0"/>
      <w:marBottom w:val="0"/>
      <w:divBdr>
        <w:top w:val="none" w:sz="0" w:space="0" w:color="auto"/>
        <w:left w:val="none" w:sz="0" w:space="0" w:color="auto"/>
        <w:bottom w:val="none" w:sz="0" w:space="0" w:color="auto"/>
        <w:right w:val="none" w:sz="0" w:space="0" w:color="auto"/>
      </w:divBdr>
    </w:div>
    <w:div w:id="861281555">
      <w:bodyDiv w:val="1"/>
      <w:marLeft w:val="0"/>
      <w:marRight w:val="0"/>
      <w:marTop w:val="0"/>
      <w:marBottom w:val="0"/>
      <w:divBdr>
        <w:top w:val="none" w:sz="0" w:space="0" w:color="auto"/>
        <w:left w:val="none" w:sz="0" w:space="0" w:color="auto"/>
        <w:bottom w:val="none" w:sz="0" w:space="0" w:color="auto"/>
        <w:right w:val="none" w:sz="0" w:space="0" w:color="auto"/>
      </w:divBdr>
    </w:div>
    <w:div w:id="863133677">
      <w:bodyDiv w:val="1"/>
      <w:marLeft w:val="0"/>
      <w:marRight w:val="0"/>
      <w:marTop w:val="0"/>
      <w:marBottom w:val="0"/>
      <w:divBdr>
        <w:top w:val="none" w:sz="0" w:space="0" w:color="auto"/>
        <w:left w:val="none" w:sz="0" w:space="0" w:color="auto"/>
        <w:bottom w:val="none" w:sz="0" w:space="0" w:color="auto"/>
        <w:right w:val="none" w:sz="0" w:space="0" w:color="auto"/>
      </w:divBdr>
    </w:div>
    <w:div w:id="873034065">
      <w:bodyDiv w:val="1"/>
      <w:marLeft w:val="0"/>
      <w:marRight w:val="0"/>
      <w:marTop w:val="0"/>
      <w:marBottom w:val="0"/>
      <w:divBdr>
        <w:top w:val="none" w:sz="0" w:space="0" w:color="auto"/>
        <w:left w:val="none" w:sz="0" w:space="0" w:color="auto"/>
        <w:bottom w:val="none" w:sz="0" w:space="0" w:color="auto"/>
        <w:right w:val="none" w:sz="0" w:space="0" w:color="auto"/>
      </w:divBdr>
    </w:div>
    <w:div w:id="875966619">
      <w:bodyDiv w:val="1"/>
      <w:marLeft w:val="0"/>
      <w:marRight w:val="0"/>
      <w:marTop w:val="0"/>
      <w:marBottom w:val="0"/>
      <w:divBdr>
        <w:top w:val="none" w:sz="0" w:space="0" w:color="auto"/>
        <w:left w:val="none" w:sz="0" w:space="0" w:color="auto"/>
        <w:bottom w:val="none" w:sz="0" w:space="0" w:color="auto"/>
        <w:right w:val="none" w:sz="0" w:space="0" w:color="auto"/>
      </w:divBdr>
    </w:div>
    <w:div w:id="891238145">
      <w:bodyDiv w:val="1"/>
      <w:marLeft w:val="0"/>
      <w:marRight w:val="0"/>
      <w:marTop w:val="0"/>
      <w:marBottom w:val="0"/>
      <w:divBdr>
        <w:top w:val="none" w:sz="0" w:space="0" w:color="auto"/>
        <w:left w:val="none" w:sz="0" w:space="0" w:color="auto"/>
        <w:bottom w:val="none" w:sz="0" w:space="0" w:color="auto"/>
        <w:right w:val="none" w:sz="0" w:space="0" w:color="auto"/>
      </w:divBdr>
    </w:div>
    <w:div w:id="897472668">
      <w:bodyDiv w:val="1"/>
      <w:marLeft w:val="0"/>
      <w:marRight w:val="0"/>
      <w:marTop w:val="0"/>
      <w:marBottom w:val="0"/>
      <w:divBdr>
        <w:top w:val="none" w:sz="0" w:space="0" w:color="auto"/>
        <w:left w:val="none" w:sz="0" w:space="0" w:color="auto"/>
        <w:bottom w:val="none" w:sz="0" w:space="0" w:color="auto"/>
        <w:right w:val="none" w:sz="0" w:space="0" w:color="auto"/>
      </w:divBdr>
    </w:div>
    <w:div w:id="899169422">
      <w:bodyDiv w:val="1"/>
      <w:marLeft w:val="0"/>
      <w:marRight w:val="0"/>
      <w:marTop w:val="0"/>
      <w:marBottom w:val="0"/>
      <w:divBdr>
        <w:top w:val="none" w:sz="0" w:space="0" w:color="auto"/>
        <w:left w:val="none" w:sz="0" w:space="0" w:color="auto"/>
        <w:bottom w:val="none" w:sz="0" w:space="0" w:color="auto"/>
        <w:right w:val="none" w:sz="0" w:space="0" w:color="auto"/>
      </w:divBdr>
    </w:div>
    <w:div w:id="906455375">
      <w:bodyDiv w:val="1"/>
      <w:marLeft w:val="0"/>
      <w:marRight w:val="0"/>
      <w:marTop w:val="0"/>
      <w:marBottom w:val="0"/>
      <w:divBdr>
        <w:top w:val="none" w:sz="0" w:space="0" w:color="auto"/>
        <w:left w:val="none" w:sz="0" w:space="0" w:color="auto"/>
        <w:bottom w:val="none" w:sz="0" w:space="0" w:color="auto"/>
        <w:right w:val="none" w:sz="0" w:space="0" w:color="auto"/>
      </w:divBdr>
    </w:div>
    <w:div w:id="909121883">
      <w:bodyDiv w:val="1"/>
      <w:marLeft w:val="0"/>
      <w:marRight w:val="0"/>
      <w:marTop w:val="0"/>
      <w:marBottom w:val="0"/>
      <w:divBdr>
        <w:top w:val="none" w:sz="0" w:space="0" w:color="auto"/>
        <w:left w:val="none" w:sz="0" w:space="0" w:color="auto"/>
        <w:bottom w:val="none" w:sz="0" w:space="0" w:color="auto"/>
        <w:right w:val="none" w:sz="0" w:space="0" w:color="auto"/>
      </w:divBdr>
      <w:divsChild>
        <w:div w:id="3558148">
          <w:marLeft w:val="2520"/>
          <w:marRight w:val="0"/>
          <w:marTop w:val="82"/>
          <w:marBottom w:val="0"/>
          <w:divBdr>
            <w:top w:val="none" w:sz="0" w:space="0" w:color="auto"/>
            <w:left w:val="none" w:sz="0" w:space="0" w:color="auto"/>
            <w:bottom w:val="none" w:sz="0" w:space="0" w:color="auto"/>
            <w:right w:val="none" w:sz="0" w:space="0" w:color="auto"/>
          </w:divBdr>
        </w:div>
        <w:div w:id="17438495">
          <w:marLeft w:val="2520"/>
          <w:marRight w:val="0"/>
          <w:marTop w:val="82"/>
          <w:marBottom w:val="0"/>
          <w:divBdr>
            <w:top w:val="none" w:sz="0" w:space="0" w:color="auto"/>
            <w:left w:val="none" w:sz="0" w:space="0" w:color="auto"/>
            <w:bottom w:val="none" w:sz="0" w:space="0" w:color="auto"/>
            <w:right w:val="none" w:sz="0" w:space="0" w:color="auto"/>
          </w:divBdr>
        </w:div>
        <w:div w:id="120459970">
          <w:marLeft w:val="1800"/>
          <w:marRight w:val="0"/>
          <w:marTop w:val="96"/>
          <w:marBottom w:val="0"/>
          <w:divBdr>
            <w:top w:val="none" w:sz="0" w:space="0" w:color="auto"/>
            <w:left w:val="none" w:sz="0" w:space="0" w:color="auto"/>
            <w:bottom w:val="none" w:sz="0" w:space="0" w:color="auto"/>
            <w:right w:val="none" w:sz="0" w:space="0" w:color="auto"/>
          </w:divBdr>
        </w:div>
        <w:div w:id="292491466">
          <w:marLeft w:val="547"/>
          <w:marRight w:val="0"/>
          <w:marTop w:val="115"/>
          <w:marBottom w:val="0"/>
          <w:divBdr>
            <w:top w:val="none" w:sz="0" w:space="0" w:color="auto"/>
            <w:left w:val="none" w:sz="0" w:space="0" w:color="auto"/>
            <w:bottom w:val="none" w:sz="0" w:space="0" w:color="auto"/>
            <w:right w:val="none" w:sz="0" w:space="0" w:color="auto"/>
          </w:divBdr>
        </w:div>
        <w:div w:id="418673795">
          <w:marLeft w:val="2520"/>
          <w:marRight w:val="0"/>
          <w:marTop w:val="86"/>
          <w:marBottom w:val="0"/>
          <w:divBdr>
            <w:top w:val="none" w:sz="0" w:space="0" w:color="auto"/>
            <w:left w:val="none" w:sz="0" w:space="0" w:color="auto"/>
            <w:bottom w:val="none" w:sz="0" w:space="0" w:color="auto"/>
            <w:right w:val="none" w:sz="0" w:space="0" w:color="auto"/>
          </w:divBdr>
        </w:div>
        <w:div w:id="568350629">
          <w:marLeft w:val="1166"/>
          <w:marRight w:val="0"/>
          <w:marTop w:val="96"/>
          <w:marBottom w:val="0"/>
          <w:divBdr>
            <w:top w:val="none" w:sz="0" w:space="0" w:color="auto"/>
            <w:left w:val="none" w:sz="0" w:space="0" w:color="auto"/>
            <w:bottom w:val="none" w:sz="0" w:space="0" w:color="auto"/>
            <w:right w:val="none" w:sz="0" w:space="0" w:color="auto"/>
          </w:divBdr>
        </w:div>
        <w:div w:id="790053983">
          <w:marLeft w:val="1800"/>
          <w:marRight w:val="0"/>
          <w:marTop w:val="96"/>
          <w:marBottom w:val="0"/>
          <w:divBdr>
            <w:top w:val="none" w:sz="0" w:space="0" w:color="auto"/>
            <w:left w:val="none" w:sz="0" w:space="0" w:color="auto"/>
            <w:bottom w:val="none" w:sz="0" w:space="0" w:color="auto"/>
            <w:right w:val="none" w:sz="0" w:space="0" w:color="auto"/>
          </w:divBdr>
        </w:div>
        <w:div w:id="967319946">
          <w:marLeft w:val="1166"/>
          <w:marRight w:val="0"/>
          <w:marTop w:val="96"/>
          <w:marBottom w:val="0"/>
          <w:divBdr>
            <w:top w:val="none" w:sz="0" w:space="0" w:color="auto"/>
            <w:left w:val="none" w:sz="0" w:space="0" w:color="auto"/>
            <w:bottom w:val="none" w:sz="0" w:space="0" w:color="auto"/>
            <w:right w:val="none" w:sz="0" w:space="0" w:color="auto"/>
          </w:divBdr>
        </w:div>
        <w:div w:id="1167285525">
          <w:marLeft w:val="2520"/>
          <w:marRight w:val="0"/>
          <w:marTop w:val="82"/>
          <w:marBottom w:val="0"/>
          <w:divBdr>
            <w:top w:val="none" w:sz="0" w:space="0" w:color="auto"/>
            <w:left w:val="none" w:sz="0" w:space="0" w:color="auto"/>
            <w:bottom w:val="none" w:sz="0" w:space="0" w:color="auto"/>
            <w:right w:val="none" w:sz="0" w:space="0" w:color="auto"/>
          </w:divBdr>
        </w:div>
        <w:div w:id="1168910347">
          <w:marLeft w:val="1800"/>
          <w:marRight w:val="0"/>
          <w:marTop w:val="96"/>
          <w:marBottom w:val="0"/>
          <w:divBdr>
            <w:top w:val="none" w:sz="0" w:space="0" w:color="auto"/>
            <w:left w:val="none" w:sz="0" w:space="0" w:color="auto"/>
            <w:bottom w:val="none" w:sz="0" w:space="0" w:color="auto"/>
            <w:right w:val="none" w:sz="0" w:space="0" w:color="auto"/>
          </w:divBdr>
        </w:div>
        <w:div w:id="1374112017">
          <w:marLeft w:val="1800"/>
          <w:marRight w:val="0"/>
          <w:marTop w:val="96"/>
          <w:marBottom w:val="0"/>
          <w:divBdr>
            <w:top w:val="none" w:sz="0" w:space="0" w:color="auto"/>
            <w:left w:val="none" w:sz="0" w:space="0" w:color="auto"/>
            <w:bottom w:val="none" w:sz="0" w:space="0" w:color="auto"/>
            <w:right w:val="none" w:sz="0" w:space="0" w:color="auto"/>
          </w:divBdr>
        </w:div>
        <w:div w:id="1702783936">
          <w:marLeft w:val="2520"/>
          <w:marRight w:val="0"/>
          <w:marTop w:val="82"/>
          <w:marBottom w:val="0"/>
          <w:divBdr>
            <w:top w:val="none" w:sz="0" w:space="0" w:color="auto"/>
            <w:left w:val="none" w:sz="0" w:space="0" w:color="auto"/>
            <w:bottom w:val="none" w:sz="0" w:space="0" w:color="auto"/>
            <w:right w:val="none" w:sz="0" w:space="0" w:color="auto"/>
          </w:divBdr>
        </w:div>
        <w:div w:id="1723628619">
          <w:marLeft w:val="2520"/>
          <w:marRight w:val="0"/>
          <w:marTop w:val="86"/>
          <w:marBottom w:val="0"/>
          <w:divBdr>
            <w:top w:val="none" w:sz="0" w:space="0" w:color="auto"/>
            <w:left w:val="none" w:sz="0" w:space="0" w:color="auto"/>
            <w:bottom w:val="none" w:sz="0" w:space="0" w:color="auto"/>
            <w:right w:val="none" w:sz="0" w:space="0" w:color="auto"/>
          </w:divBdr>
        </w:div>
        <w:div w:id="1761752584">
          <w:marLeft w:val="1166"/>
          <w:marRight w:val="0"/>
          <w:marTop w:val="96"/>
          <w:marBottom w:val="0"/>
          <w:divBdr>
            <w:top w:val="none" w:sz="0" w:space="0" w:color="auto"/>
            <w:left w:val="none" w:sz="0" w:space="0" w:color="auto"/>
            <w:bottom w:val="none" w:sz="0" w:space="0" w:color="auto"/>
            <w:right w:val="none" w:sz="0" w:space="0" w:color="auto"/>
          </w:divBdr>
        </w:div>
        <w:div w:id="1866821478">
          <w:marLeft w:val="1166"/>
          <w:marRight w:val="0"/>
          <w:marTop w:val="96"/>
          <w:marBottom w:val="0"/>
          <w:divBdr>
            <w:top w:val="none" w:sz="0" w:space="0" w:color="auto"/>
            <w:left w:val="none" w:sz="0" w:space="0" w:color="auto"/>
            <w:bottom w:val="none" w:sz="0" w:space="0" w:color="auto"/>
            <w:right w:val="none" w:sz="0" w:space="0" w:color="auto"/>
          </w:divBdr>
        </w:div>
        <w:div w:id="2001612795">
          <w:marLeft w:val="2520"/>
          <w:marRight w:val="0"/>
          <w:marTop w:val="86"/>
          <w:marBottom w:val="0"/>
          <w:divBdr>
            <w:top w:val="none" w:sz="0" w:space="0" w:color="auto"/>
            <w:left w:val="none" w:sz="0" w:space="0" w:color="auto"/>
            <w:bottom w:val="none" w:sz="0" w:space="0" w:color="auto"/>
            <w:right w:val="none" w:sz="0" w:space="0" w:color="auto"/>
          </w:divBdr>
        </w:div>
      </w:divsChild>
    </w:div>
    <w:div w:id="930049544">
      <w:bodyDiv w:val="1"/>
      <w:marLeft w:val="0"/>
      <w:marRight w:val="0"/>
      <w:marTop w:val="0"/>
      <w:marBottom w:val="0"/>
      <w:divBdr>
        <w:top w:val="none" w:sz="0" w:space="0" w:color="auto"/>
        <w:left w:val="none" w:sz="0" w:space="0" w:color="auto"/>
        <w:bottom w:val="none" w:sz="0" w:space="0" w:color="auto"/>
        <w:right w:val="none" w:sz="0" w:space="0" w:color="auto"/>
      </w:divBdr>
    </w:div>
    <w:div w:id="930894690">
      <w:bodyDiv w:val="1"/>
      <w:marLeft w:val="0"/>
      <w:marRight w:val="0"/>
      <w:marTop w:val="0"/>
      <w:marBottom w:val="0"/>
      <w:divBdr>
        <w:top w:val="none" w:sz="0" w:space="0" w:color="auto"/>
        <w:left w:val="none" w:sz="0" w:space="0" w:color="auto"/>
        <w:bottom w:val="none" w:sz="0" w:space="0" w:color="auto"/>
        <w:right w:val="none" w:sz="0" w:space="0" w:color="auto"/>
      </w:divBdr>
      <w:divsChild>
        <w:div w:id="50078343">
          <w:marLeft w:val="547"/>
          <w:marRight w:val="0"/>
          <w:marTop w:val="120"/>
          <w:marBottom w:val="0"/>
          <w:divBdr>
            <w:top w:val="none" w:sz="0" w:space="0" w:color="auto"/>
            <w:left w:val="none" w:sz="0" w:space="0" w:color="auto"/>
            <w:bottom w:val="none" w:sz="0" w:space="0" w:color="auto"/>
            <w:right w:val="none" w:sz="0" w:space="0" w:color="auto"/>
          </w:divBdr>
        </w:div>
      </w:divsChild>
    </w:div>
    <w:div w:id="936905381">
      <w:bodyDiv w:val="1"/>
      <w:marLeft w:val="0"/>
      <w:marRight w:val="0"/>
      <w:marTop w:val="0"/>
      <w:marBottom w:val="0"/>
      <w:divBdr>
        <w:top w:val="none" w:sz="0" w:space="0" w:color="auto"/>
        <w:left w:val="none" w:sz="0" w:space="0" w:color="auto"/>
        <w:bottom w:val="none" w:sz="0" w:space="0" w:color="auto"/>
        <w:right w:val="none" w:sz="0" w:space="0" w:color="auto"/>
      </w:divBdr>
    </w:div>
    <w:div w:id="941113371">
      <w:bodyDiv w:val="1"/>
      <w:marLeft w:val="0"/>
      <w:marRight w:val="0"/>
      <w:marTop w:val="0"/>
      <w:marBottom w:val="0"/>
      <w:divBdr>
        <w:top w:val="none" w:sz="0" w:space="0" w:color="auto"/>
        <w:left w:val="none" w:sz="0" w:space="0" w:color="auto"/>
        <w:bottom w:val="none" w:sz="0" w:space="0" w:color="auto"/>
        <w:right w:val="none" w:sz="0" w:space="0" w:color="auto"/>
      </w:divBdr>
    </w:div>
    <w:div w:id="942493142">
      <w:bodyDiv w:val="1"/>
      <w:marLeft w:val="0"/>
      <w:marRight w:val="0"/>
      <w:marTop w:val="0"/>
      <w:marBottom w:val="0"/>
      <w:divBdr>
        <w:top w:val="none" w:sz="0" w:space="0" w:color="auto"/>
        <w:left w:val="none" w:sz="0" w:space="0" w:color="auto"/>
        <w:bottom w:val="none" w:sz="0" w:space="0" w:color="auto"/>
        <w:right w:val="none" w:sz="0" w:space="0" w:color="auto"/>
      </w:divBdr>
    </w:div>
    <w:div w:id="943416452">
      <w:bodyDiv w:val="1"/>
      <w:marLeft w:val="0"/>
      <w:marRight w:val="0"/>
      <w:marTop w:val="0"/>
      <w:marBottom w:val="0"/>
      <w:divBdr>
        <w:top w:val="none" w:sz="0" w:space="0" w:color="auto"/>
        <w:left w:val="none" w:sz="0" w:space="0" w:color="auto"/>
        <w:bottom w:val="none" w:sz="0" w:space="0" w:color="auto"/>
        <w:right w:val="none" w:sz="0" w:space="0" w:color="auto"/>
      </w:divBdr>
    </w:div>
    <w:div w:id="944964336">
      <w:bodyDiv w:val="1"/>
      <w:marLeft w:val="0"/>
      <w:marRight w:val="0"/>
      <w:marTop w:val="0"/>
      <w:marBottom w:val="0"/>
      <w:divBdr>
        <w:top w:val="none" w:sz="0" w:space="0" w:color="auto"/>
        <w:left w:val="none" w:sz="0" w:space="0" w:color="auto"/>
        <w:bottom w:val="none" w:sz="0" w:space="0" w:color="auto"/>
        <w:right w:val="none" w:sz="0" w:space="0" w:color="auto"/>
      </w:divBdr>
    </w:div>
    <w:div w:id="945691418">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4531710">
      <w:bodyDiv w:val="1"/>
      <w:marLeft w:val="0"/>
      <w:marRight w:val="0"/>
      <w:marTop w:val="0"/>
      <w:marBottom w:val="0"/>
      <w:divBdr>
        <w:top w:val="none" w:sz="0" w:space="0" w:color="auto"/>
        <w:left w:val="none" w:sz="0" w:space="0" w:color="auto"/>
        <w:bottom w:val="none" w:sz="0" w:space="0" w:color="auto"/>
        <w:right w:val="none" w:sz="0" w:space="0" w:color="auto"/>
      </w:divBdr>
      <w:divsChild>
        <w:div w:id="179592654">
          <w:marLeft w:val="1886"/>
          <w:marRight w:val="0"/>
          <w:marTop w:val="77"/>
          <w:marBottom w:val="0"/>
          <w:divBdr>
            <w:top w:val="none" w:sz="0" w:space="0" w:color="auto"/>
            <w:left w:val="none" w:sz="0" w:space="0" w:color="auto"/>
            <w:bottom w:val="none" w:sz="0" w:space="0" w:color="auto"/>
            <w:right w:val="none" w:sz="0" w:space="0" w:color="auto"/>
          </w:divBdr>
        </w:div>
        <w:div w:id="356200266">
          <w:marLeft w:val="1886"/>
          <w:marRight w:val="0"/>
          <w:marTop w:val="77"/>
          <w:marBottom w:val="0"/>
          <w:divBdr>
            <w:top w:val="none" w:sz="0" w:space="0" w:color="auto"/>
            <w:left w:val="none" w:sz="0" w:space="0" w:color="auto"/>
            <w:bottom w:val="none" w:sz="0" w:space="0" w:color="auto"/>
            <w:right w:val="none" w:sz="0" w:space="0" w:color="auto"/>
          </w:divBdr>
        </w:div>
        <w:div w:id="407849478">
          <w:marLeft w:val="1166"/>
          <w:marRight w:val="0"/>
          <w:marTop w:val="96"/>
          <w:marBottom w:val="0"/>
          <w:divBdr>
            <w:top w:val="none" w:sz="0" w:space="0" w:color="auto"/>
            <w:left w:val="none" w:sz="0" w:space="0" w:color="auto"/>
            <w:bottom w:val="none" w:sz="0" w:space="0" w:color="auto"/>
            <w:right w:val="none" w:sz="0" w:space="0" w:color="auto"/>
          </w:divBdr>
        </w:div>
        <w:div w:id="530186713">
          <w:marLeft w:val="1886"/>
          <w:marRight w:val="0"/>
          <w:marTop w:val="77"/>
          <w:marBottom w:val="0"/>
          <w:divBdr>
            <w:top w:val="none" w:sz="0" w:space="0" w:color="auto"/>
            <w:left w:val="none" w:sz="0" w:space="0" w:color="auto"/>
            <w:bottom w:val="none" w:sz="0" w:space="0" w:color="auto"/>
            <w:right w:val="none" w:sz="0" w:space="0" w:color="auto"/>
          </w:divBdr>
        </w:div>
        <w:div w:id="885215701">
          <w:marLeft w:val="1886"/>
          <w:marRight w:val="0"/>
          <w:marTop w:val="77"/>
          <w:marBottom w:val="0"/>
          <w:divBdr>
            <w:top w:val="none" w:sz="0" w:space="0" w:color="auto"/>
            <w:left w:val="none" w:sz="0" w:space="0" w:color="auto"/>
            <w:bottom w:val="none" w:sz="0" w:space="0" w:color="auto"/>
            <w:right w:val="none" w:sz="0" w:space="0" w:color="auto"/>
          </w:divBdr>
        </w:div>
        <w:div w:id="913011454">
          <w:marLeft w:val="1166"/>
          <w:marRight w:val="0"/>
          <w:marTop w:val="96"/>
          <w:marBottom w:val="0"/>
          <w:divBdr>
            <w:top w:val="none" w:sz="0" w:space="0" w:color="auto"/>
            <w:left w:val="none" w:sz="0" w:space="0" w:color="auto"/>
            <w:bottom w:val="none" w:sz="0" w:space="0" w:color="auto"/>
            <w:right w:val="none" w:sz="0" w:space="0" w:color="auto"/>
          </w:divBdr>
        </w:div>
        <w:div w:id="956569565">
          <w:marLeft w:val="547"/>
          <w:marRight w:val="0"/>
          <w:marTop w:val="154"/>
          <w:marBottom w:val="0"/>
          <w:divBdr>
            <w:top w:val="none" w:sz="0" w:space="0" w:color="auto"/>
            <w:left w:val="none" w:sz="0" w:space="0" w:color="auto"/>
            <w:bottom w:val="none" w:sz="0" w:space="0" w:color="auto"/>
            <w:right w:val="none" w:sz="0" w:space="0" w:color="auto"/>
          </w:divBdr>
        </w:div>
        <w:div w:id="1363703170">
          <w:marLeft w:val="1166"/>
          <w:marRight w:val="0"/>
          <w:marTop w:val="96"/>
          <w:marBottom w:val="0"/>
          <w:divBdr>
            <w:top w:val="none" w:sz="0" w:space="0" w:color="auto"/>
            <w:left w:val="none" w:sz="0" w:space="0" w:color="auto"/>
            <w:bottom w:val="none" w:sz="0" w:space="0" w:color="auto"/>
            <w:right w:val="none" w:sz="0" w:space="0" w:color="auto"/>
          </w:divBdr>
        </w:div>
        <w:div w:id="1726835643">
          <w:marLeft w:val="1166"/>
          <w:marRight w:val="0"/>
          <w:marTop w:val="96"/>
          <w:marBottom w:val="0"/>
          <w:divBdr>
            <w:top w:val="none" w:sz="0" w:space="0" w:color="auto"/>
            <w:left w:val="none" w:sz="0" w:space="0" w:color="auto"/>
            <w:bottom w:val="none" w:sz="0" w:space="0" w:color="auto"/>
            <w:right w:val="none" w:sz="0" w:space="0" w:color="auto"/>
          </w:divBdr>
        </w:div>
        <w:div w:id="2053462324">
          <w:marLeft w:val="1166"/>
          <w:marRight w:val="0"/>
          <w:marTop w:val="96"/>
          <w:marBottom w:val="0"/>
          <w:divBdr>
            <w:top w:val="none" w:sz="0" w:space="0" w:color="auto"/>
            <w:left w:val="none" w:sz="0" w:space="0" w:color="auto"/>
            <w:bottom w:val="none" w:sz="0" w:space="0" w:color="auto"/>
            <w:right w:val="none" w:sz="0" w:space="0" w:color="auto"/>
          </w:divBdr>
        </w:div>
        <w:div w:id="2102025975">
          <w:marLeft w:val="1886"/>
          <w:marRight w:val="0"/>
          <w:marTop w:val="77"/>
          <w:marBottom w:val="0"/>
          <w:divBdr>
            <w:top w:val="none" w:sz="0" w:space="0" w:color="auto"/>
            <w:left w:val="none" w:sz="0" w:space="0" w:color="auto"/>
            <w:bottom w:val="none" w:sz="0" w:space="0" w:color="auto"/>
            <w:right w:val="none" w:sz="0" w:space="0" w:color="auto"/>
          </w:divBdr>
        </w:div>
      </w:divsChild>
    </w:div>
    <w:div w:id="985550338">
      <w:bodyDiv w:val="1"/>
      <w:marLeft w:val="0"/>
      <w:marRight w:val="0"/>
      <w:marTop w:val="0"/>
      <w:marBottom w:val="0"/>
      <w:divBdr>
        <w:top w:val="none" w:sz="0" w:space="0" w:color="auto"/>
        <w:left w:val="none" w:sz="0" w:space="0" w:color="auto"/>
        <w:bottom w:val="none" w:sz="0" w:space="0" w:color="auto"/>
        <w:right w:val="none" w:sz="0" w:space="0" w:color="auto"/>
      </w:divBdr>
    </w:div>
    <w:div w:id="986127427">
      <w:bodyDiv w:val="1"/>
      <w:marLeft w:val="0"/>
      <w:marRight w:val="0"/>
      <w:marTop w:val="0"/>
      <w:marBottom w:val="0"/>
      <w:divBdr>
        <w:top w:val="none" w:sz="0" w:space="0" w:color="auto"/>
        <w:left w:val="none" w:sz="0" w:space="0" w:color="auto"/>
        <w:bottom w:val="none" w:sz="0" w:space="0" w:color="auto"/>
        <w:right w:val="none" w:sz="0" w:space="0" w:color="auto"/>
      </w:divBdr>
    </w:div>
    <w:div w:id="988170660">
      <w:bodyDiv w:val="1"/>
      <w:marLeft w:val="0"/>
      <w:marRight w:val="0"/>
      <w:marTop w:val="0"/>
      <w:marBottom w:val="0"/>
      <w:divBdr>
        <w:top w:val="none" w:sz="0" w:space="0" w:color="auto"/>
        <w:left w:val="none" w:sz="0" w:space="0" w:color="auto"/>
        <w:bottom w:val="none" w:sz="0" w:space="0" w:color="auto"/>
        <w:right w:val="none" w:sz="0" w:space="0" w:color="auto"/>
      </w:divBdr>
      <w:divsChild>
        <w:div w:id="31540457">
          <w:marLeft w:val="1166"/>
          <w:marRight w:val="0"/>
          <w:marTop w:val="77"/>
          <w:marBottom w:val="0"/>
          <w:divBdr>
            <w:top w:val="none" w:sz="0" w:space="0" w:color="auto"/>
            <w:left w:val="none" w:sz="0" w:space="0" w:color="auto"/>
            <w:bottom w:val="none" w:sz="0" w:space="0" w:color="auto"/>
            <w:right w:val="none" w:sz="0" w:space="0" w:color="auto"/>
          </w:divBdr>
        </w:div>
        <w:div w:id="58410859">
          <w:marLeft w:val="547"/>
          <w:marRight w:val="0"/>
          <w:marTop w:val="96"/>
          <w:marBottom w:val="0"/>
          <w:divBdr>
            <w:top w:val="none" w:sz="0" w:space="0" w:color="auto"/>
            <w:left w:val="none" w:sz="0" w:space="0" w:color="auto"/>
            <w:bottom w:val="none" w:sz="0" w:space="0" w:color="auto"/>
            <w:right w:val="none" w:sz="0" w:space="0" w:color="auto"/>
          </w:divBdr>
        </w:div>
        <w:div w:id="164327272">
          <w:marLeft w:val="1166"/>
          <w:marRight w:val="0"/>
          <w:marTop w:val="77"/>
          <w:marBottom w:val="0"/>
          <w:divBdr>
            <w:top w:val="none" w:sz="0" w:space="0" w:color="auto"/>
            <w:left w:val="none" w:sz="0" w:space="0" w:color="auto"/>
            <w:bottom w:val="none" w:sz="0" w:space="0" w:color="auto"/>
            <w:right w:val="none" w:sz="0" w:space="0" w:color="auto"/>
          </w:divBdr>
        </w:div>
        <w:div w:id="770048712">
          <w:marLeft w:val="547"/>
          <w:marRight w:val="0"/>
          <w:marTop w:val="96"/>
          <w:marBottom w:val="0"/>
          <w:divBdr>
            <w:top w:val="none" w:sz="0" w:space="0" w:color="auto"/>
            <w:left w:val="none" w:sz="0" w:space="0" w:color="auto"/>
            <w:bottom w:val="none" w:sz="0" w:space="0" w:color="auto"/>
            <w:right w:val="none" w:sz="0" w:space="0" w:color="auto"/>
          </w:divBdr>
        </w:div>
        <w:div w:id="958226404">
          <w:marLeft w:val="1166"/>
          <w:marRight w:val="0"/>
          <w:marTop w:val="77"/>
          <w:marBottom w:val="0"/>
          <w:divBdr>
            <w:top w:val="none" w:sz="0" w:space="0" w:color="auto"/>
            <w:left w:val="none" w:sz="0" w:space="0" w:color="auto"/>
            <w:bottom w:val="none" w:sz="0" w:space="0" w:color="auto"/>
            <w:right w:val="none" w:sz="0" w:space="0" w:color="auto"/>
          </w:divBdr>
        </w:div>
        <w:div w:id="1278294358">
          <w:marLeft w:val="547"/>
          <w:marRight w:val="0"/>
          <w:marTop w:val="96"/>
          <w:marBottom w:val="0"/>
          <w:divBdr>
            <w:top w:val="none" w:sz="0" w:space="0" w:color="auto"/>
            <w:left w:val="none" w:sz="0" w:space="0" w:color="auto"/>
            <w:bottom w:val="none" w:sz="0" w:space="0" w:color="auto"/>
            <w:right w:val="none" w:sz="0" w:space="0" w:color="auto"/>
          </w:divBdr>
        </w:div>
        <w:div w:id="1406606590">
          <w:marLeft w:val="547"/>
          <w:marRight w:val="0"/>
          <w:marTop w:val="96"/>
          <w:marBottom w:val="0"/>
          <w:divBdr>
            <w:top w:val="none" w:sz="0" w:space="0" w:color="auto"/>
            <w:left w:val="none" w:sz="0" w:space="0" w:color="auto"/>
            <w:bottom w:val="none" w:sz="0" w:space="0" w:color="auto"/>
            <w:right w:val="none" w:sz="0" w:space="0" w:color="auto"/>
          </w:divBdr>
        </w:div>
        <w:div w:id="1419450072">
          <w:marLeft w:val="547"/>
          <w:marRight w:val="0"/>
          <w:marTop w:val="96"/>
          <w:marBottom w:val="0"/>
          <w:divBdr>
            <w:top w:val="none" w:sz="0" w:space="0" w:color="auto"/>
            <w:left w:val="none" w:sz="0" w:space="0" w:color="auto"/>
            <w:bottom w:val="none" w:sz="0" w:space="0" w:color="auto"/>
            <w:right w:val="none" w:sz="0" w:space="0" w:color="auto"/>
          </w:divBdr>
        </w:div>
        <w:div w:id="1844854512">
          <w:marLeft w:val="1166"/>
          <w:marRight w:val="0"/>
          <w:marTop w:val="77"/>
          <w:marBottom w:val="0"/>
          <w:divBdr>
            <w:top w:val="none" w:sz="0" w:space="0" w:color="auto"/>
            <w:left w:val="none" w:sz="0" w:space="0" w:color="auto"/>
            <w:bottom w:val="none" w:sz="0" w:space="0" w:color="auto"/>
            <w:right w:val="none" w:sz="0" w:space="0" w:color="auto"/>
          </w:divBdr>
        </w:div>
        <w:div w:id="2071731621">
          <w:marLeft w:val="547"/>
          <w:marRight w:val="0"/>
          <w:marTop w:val="96"/>
          <w:marBottom w:val="0"/>
          <w:divBdr>
            <w:top w:val="none" w:sz="0" w:space="0" w:color="auto"/>
            <w:left w:val="none" w:sz="0" w:space="0" w:color="auto"/>
            <w:bottom w:val="none" w:sz="0" w:space="0" w:color="auto"/>
            <w:right w:val="none" w:sz="0" w:space="0" w:color="auto"/>
          </w:divBdr>
        </w:div>
      </w:divsChild>
    </w:div>
    <w:div w:id="999845502">
      <w:bodyDiv w:val="1"/>
      <w:marLeft w:val="0"/>
      <w:marRight w:val="0"/>
      <w:marTop w:val="0"/>
      <w:marBottom w:val="0"/>
      <w:divBdr>
        <w:top w:val="none" w:sz="0" w:space="0" w:color="auto"/>
        <w:left w:val="none" w:sz="0" w:space="0" w:color="auto"/>
        <w:bottom w:val="none" w:sz="0" w:space="0" w:color="auto"/>
        <w:right w:val="none" w:sz="0" w:space="0" w:color="auto"/>
      </w:divBdr>
      <w:divsChild>
        <w:div w:id="276524431">
          <w:marLeft w:val="1800"/>
          <w:marRight w:val="0"/>
          <w:marTop w:val="72"/>
          <w:marBottom w:val="0"/>
          <w:divBdr>
            <w:top w:val="none" w:sz="0" w:space="0" w:color="auto"/>
            <w:left w:val="none" w:sz="0" w:space="0" w:color="auto"/>
            <w:bottom w:val="none" w:sz="0" w:space="0" w:color="auto"/>
            <w:right w:val="none" w:sz="0" w:space="0" w:color="auto"/>
          </w:divBdr>
        </w:div>
        <w:div w:id="1118140392">
          <w:marLeft w:val="1800"/>
          <w:marRight w:val="0"/>
          <w:marTop w:val="72"/>
          <w:marBottom w:val="0"/>
          <w:divBdr>
            <w:top w:val="none" w:sz="0" w:space="0" w:color="auto"/>
            <w:left w:val="none" w:sz="0" w:space="0" w:color="auto"/>
            <w:bottom w:val="none" w:sz="0" w:space="0" w:color="auto"/>
            <w:right w:val="none" w:sz="0" w:space="0" w:color="auto"/>
          </w:divBdr>
        </w:div>
        <w:div w:id="1140920907">
          <w:marLeft w:val="2520"/>
          <w:marRight w:val="0"/>
          <w:marTop w:val="72"/>
          <w:marBottom w:val="0"/>
          <w:divBdr>
            <w:top w:val="none" w:sz="0" w:space="0" w:color="auto"/>
            <w:left w:val="none" w:sz="0" w:space="0" w:color="auto"/>
            <w:bottom w:val="none" w:sz="0" w:space="0" w:color="auto"/>
            <w:right w:val="none" w:sz="0" w:space="0" w:color="auto"/>
          </w:divBdr>
        </w:div>
        <w:div w:id="1546869436">
          <w:marLeft w:val="1166"/>
          <w:marRight w:val="0"/>
          <w:marTop w:val="72"/>
          <w:marBottom w:val="0"/>
          <w:divBdr>
            <w:top w:val="none" w:sz="0" w:space="0" w:color="auto"/>
            <w:left w:val="none" w:sz="0" w:space="0" w:color="auto"/>
            <w:bottom w:val="none" w:sz="0" w:space="0" w:color="auto"/>
            <w:right w:val="none" w:sz="0" w:space="0" w:color="auto"/>
          </w:divBdr>
        </w:div>
        <w:div w:id="1923103066">
          <w:marLeft w:val="2520"/>
          <w:marRight w:val="0"/>
          <w:marTop w:val="72"/>
          <w:marBottom w:val="0"/>
          <w:divBdr>
            <w:top w:val="none" w:sz="0" w:space="0" w:color="auto"/>
            <w:left w:val="none" w:sz="0" w:space="0" w:color="auto"/>
            <w:bottom w:val="none" w:sz="0" w:space="0" w:color="auto"/>
            <w:right w:val="none" w:sz="0" w:space="0" w:color="auto"/>
          </w:divBdr>
        </w:div>
      </w:divsChild>
    </w:div>
    <w:div w:id="1013216720">
      <w:bodyDiv w:val="1"/>
      <w:marLeft w:val="0"/>
      <w:marRight w:val="0"/>
      <w:marTop w:val="0"/>
      <w:marBottom w:val="0"/>
      <w:divBdr>
        <w:top w:val="none" w:sz="0" w:space="0" w:color="auto"/>
        <w:left w:val="none" w:sz="0" w:space="0" w:color="auto"/>
        <w:bottom w:val="none" w:sz="0" w:space="0" w:color="auto"/>
        <w:right w:val="none" w:sz="0" w:space="0" w:color="auto"/>
      </w:divBdr>
    </w:div>
    <w:div w:id="1017275490">
      <w:bodyDiv w:val="1"/>
      <w:marLeft w:val="0"/>
      <w:marRight w:val="0"/>
      <w:marTop w:val="0"/>
      <w:marBottom w:val="0"/>
      <w:divBdr>
        <w:top w:val="none" w:sz="0" w:space="0" w:color="auto"/>
        <w:left w:val="none" w:sz="0" w:space="0" w:color="auto"/>
        <w:bottom w:val="none" w:sz="0" w:space="0" w:color="auto"/>
        <w:right w:val="none" w:sz="0" w:space="0" w:color="auto"/>
      </w:divBdr>
      <w:divsChild>
        <w:div w:id="106245120">
          <w:marLeft w:val="1800"/>
          <w:marRight w:val="0"/>
          <w:marTop w:val="77"/>
          <w:marBottom w:val="0"/>
          <w:divBdr>
            <w:top w:val="none" w:sz="0" w:space="0" w:color="auto"/>
            <w:left w:val="none" w:sz="0" w:space="0" w:color="auto"/>
            <w:bottom w:val="none" w:sz="0" w:space="0" w:color="auto"/>
            <w:right w:val="none" w:sz="0" w:space="0" w:color="auto"/>
          </w:divBdr>
        </w:div>
        <w:div w:id="198471689">
          <w:marLeft w:val="1800"/>
          <w:marRight w:val="0"/>
          <w:marTop w:val="77"/>
          <w:marBottom w:val="0"/>
          <w:divBdr>
            <w:top w:val="none" w:sz="0" w:space="0" w:color="auto"/>
            <w:left w:val="none" w:sz="0" w:space="0" w:color="auto"/>
            <w:bottom w:val="none" w:sz="0" w:space="0" w:color="auto"/>
            <w:right w:val="none" w:sz="0" w:space="0" w:color="auto"/>
          </w:divBdr>
        </w:div>
        <w:div w:id="846091847">
          <w:marLeft w:val="1800"/>
          <w:marRight w:val="0"/>
          <w:marTop w:val="77"/>
          <w:marBottom w:val="0"/>
          <w:divBdr>
            <w:top w:val="none" w:sz="0" w:space="0" w:color="auto"/>
            <w:left w:val="none" w:sz="0" w:space="0" w:color="auto"/>
            <w:bottom w:val="none" w:sz="0" w:space="0" w:color="auto"/>
            <w:right w:val="none" w:sz="0" w:space="0" w:color="auto"/>
          </w:divBdr>
        </w:div>
        <w:div w:id="1505822885">
          <w:marLeft w:val="1800"/>
          <w:marRight w:val="0"/>
          <w:marTop w:val="77"/>
          <w:marBottom w:val="0"/>
          <w:divBdr>
            <w:top w:val="none" w:sz="0" w:space="0" w:color="auto"/>
            <w:left w:val="none" w:sz="0" w:space="0" w:color="auto"/>
            <w:bottom w:val="none" w:sz="0" w:space="0" w:color="auto"/>
            <w:right w:val="none" w:sz="0" w:space="0" w:color="auto"/>
          </w:divBdr>
        </w:div>
      </w:divsChild>
    </w:div>
    <w:div w:id="1019891912">
      <w:bodyDiv w:val="1"/>
      <w:marLeft w:val="0"/>
      <w:marRight w:val="0"/>
      <w:marTop w:val="0"/>
      <w:marBottom w:val="0"/>
      <w:divBdr>
        <w:top w:val="none" w:sz="0" w:space="0" w:color="auto"/>
        <w:left w:val="none" w:sz="0" w:space="0" w:color="auto"/>
        <w:bottom w:val="none" w:sz="0" w:space="0" w:color="auto"/>
        <w:right w:val="none" w:sz="0" w:space="0" w:color="auto"/>
      </w:divBdr>
    </w:div>
    <w:div w:id="1032997224">
      <w:bodyDiv w:val="1"/>
      <w:marLeft w:val="0"/>
      <w:marRight w:val="0"/>
      <w:marTop w:val="0"/>
      <w:marBottom w:val="0"/>
      <w:divBdr>
        <w:top w:val="none" w:sz="0" w:space="0" w:color="auto"/>
        <w:left w:val="none" w:sz="0" w:space="0" w:color="auto"/>
        <w:bottom w:val="none" w:sz="0" w:space="0" w:color="auto"/>
        <w:right w:val="none" w:sz="0" w:space="0" w:color="auto"/>
      </w:divBdr>
    </w:div>
    <w:div w:id="1036392245">
      <w:bodyDiv w:val="1"/>
      <w:marLeft w:val="0"/>
      <w:marRight w:val="0"/>
      <w:marTop w:val="0"/>
      <w:marBottom w:val="0"/>
      <w:divBdr>
        <w:top w:val="none" w:sz="0" w:space="0" w:color="auto"/>
        <w:left w:val="none" w:sz="0" w:space="0" w:color="auto"/>
        <w:bottom w:val="none" w:sz="0" w:space="0" w:color="auto"/>
        <w:right w:val="none" w:sz="0" w:space="0" w:color="auto"/>
      </w:divBdr>
    </w:div>
    <w:div w:id="1043752512">
      <w:bodyDiv w:val="1"/>
      <w:marLeft w:val="0"/>
      <w:marRight w:val="0"/>
      <w:marTop w:val="0"/>
      <w:marBottom w:val="0"/>
      <w:divBdr>
        <w:top w:val="none" w:sz="0" w:space="0" w:color="auto"/>
        <w:left w:val="none" w:sz="0" w:space="0" w:color="auto"/>
        <w:bottom w:val="none" w:sz="0" w:space="0" w:color="auto"/>
        <w:right w:val="none" w:sz="0" w:space="0" w:color="auto"/>
      </w:divBdr>
    </w:div>
    <w:div w:id="1045106233">
      <w:bodyDiv w:val="1"/>
      <w:marLeft w:val="0"/>
      <w:marRight w:val="0"/>
      <w:marTop w:val="0"/>
      <w:marBottom w:val="0"/>
      <w:divBdr>
        <w:top w:val="none" w:sz="0" w:space="0" w:color="auto"/>
        <w:left w:val="none" w:sz="0" w:space="0" w:color="auto"/>
        <w:bottom w:val="none" w:sz="0" w:space="0" w:color="auto"/>
        <w:right w:val="none" w:sz="0" w:space="0" w:color="auto"/>
      </w:divBdr>
    </w:div>
    <w:div w:id="1051031712">
      <w:bodyDiv w:val="1"/>
      <w:marLeft w:val="0"/>
      <w:marRight w:val="0"/>
      <w:marTop w:val="0"/>
      <w:marBottom w:val="0"/>
      <w:divBdr>
        <w:top w:val="none" w:sz="0" w:space="0" w:color="auto"/>
        <w:left w:val="none" w:sz="0" w:space="0" w:color="auto"/>
        <w:bottom w:val="none" w:sz="0" w:space="0" w:color="auto"/>
        <w:right w:val="none" w:sz="0" w:space="0" w:color="auto"/>
      </w:divBdr>
    </w:div>
    <w:div w:id="1052122930">
      <w:bodyDiv w:val="1"/>
      <w:marLeft w:val="0"/>
      <w:marRight w:val="0"/>
      <w:marTop w:val="0"/>
      <w:marBottom w:val="0"/>
      <w:divBdr>
        <w:top w:val="none" w:sz="0" w:space="0" w:color="auto"/>
        <w:left w:val="none" w:sz="0" w:space="0" w:color="auto"/>
        <w:bottom w:val="none" w:sz="0" w:space="0" w:color="auto"/>
        <w:right w:val="none" w:sz="0" w:space="0" w:color="auto"/>
      </w:divBdr>
    </w:div>
    <w:div w:id="1053650420">
      <w:bodyDiv w:val="1"/>
      <w:marLeft w:val="0"/>
      <w:marRight w:val="0"/>
      <w:marTop w:val="0"/>
      <w:marBottom w:val="0"/>
      <w:divBdr>
        <w:top w:val="none" w:sz="0" w:space="0" w:color="auto"/>
        <w:left w:val="none" w:sz="0" w:space="0" w:color="auto"/>
        <w:bottom w:val="none" w:sz="0" w:space="0" w:color="auto"/>
        <w:right w:val="none" w:sz="0" w:space="0" w:color="auto"/>
      </w:divBdr>
      <w:divsChild>
        <w:div w:id="265893707">
          <w:marLeft w:val="1800"/>
          <w:marRight w:val="0"/>
          <w:marTop w:val="86"/>
          <w:marBottom w:val="0"/>
          <w:divBdr>
            <w:top w:val="none" w:sz="0" w:space="0" w:color="auto"/>
            <w:left w:val="none" w:sz="0" w:space="0" w:color="auto"/>
            <w:bottom w:val="none" w:sz="0" w:space="0" w:color="auto"/>
            <w:right w:val="none" w:sz="0" w:space="0" w:color="auto"/>
          </w:divBdr>
        </w:div>
        <w:div w:id="478573464">
          <w:marLeft w:val="1166"/>
          <w:marRight w:val="0"/>
          <w:marTop w:val="96"/>
          <w:marBottom w:val="0"/>
          <w:divBdr>
            <w:top w:val="none" w:sz="0" w:space="0" w:color="auto"/>
            <w:left w:val="none" w:sz="0" w:space="0" w:color="auto"/>
            <w:bottom w:val="none" w:sz="0" w:space="0" w:color="auto"/>
            <w:right w:val="none" w:sz="0" w:space="0" w:color="auto"/>
          </w:divBdr>
        </w:div>
        <w:div w:id="588738580">
          <w:marLeft w:val="1800"/>
          <w:marRight w:val="0"/>
          <w:marTop w:val="86"/>
          <w:marBottom w:val="0"/>
          <w:divBdr>
            <w:top w:val="none" w:sz="0" w:space="0" w:color="auto"/>
            <w:left w:val="none" w:sz="0" w:space="0" w:color="auto"/>
            <w:bottom w:val="none" w:sz="0" w:space="0" w:color="auto"/>
            <w:right w:val="none" w:sz="0" w:space="0" w:color="auto"/>
          </w:divBdr>
        </w:div>
        <w:div w:id="1190609742">
          <w:marLeft w:val="1800"/>
          <w:marRight w:val="0"/>
          <w:marTop w:val="86"/>
          <w:marBottom w:val="0"/>
          <w:divBdr>
            <w:top w:val="none" w:sz="0" w:space="0" w:color="auto"/>
            <w:left w:val="none" w:sz="0" w:space="0" w:color="auto"/>
            <w:bottom w:val="none" w:sz="0" w:space="0" w:color="auto"/>
            <w:right w:val="none" w:sz="0" w:space="0" w:color="auto"/>
          </w:divBdr>
        </w:div>
        <w:div w:id="1231422805">
          <w:marLeft w:val="1800"/>
          <w:marRight w:val="0"/>
          <w:marTop w:val="86"/>
          <w:marBottom w:val="0"/>
          <w:divBdr>
            <w:top w:val="none" w:sz="0" w:space="0" w:color="auto"/>
            <w:left w:val="none" w:sz="0" w:space="0" w:color="auto"/>
            <w:bottom w:val="none" w:sz="0" w:space="0" w:color="auto"/>
            <w:right w:val="none" w:sz="0" w:space="0" w:color="auto"/>
          </w:divBdr>
        </w:div>
        <w:div w:id="1628900358">
          <w:marLeft w:val="1166"/>
          <w:marRight w:val="0"/>
          <w:marTop w:val="96"/>
          <w:marBottom w:val="0"/>
          <w:divBdr>
            <w:top w:val="none" w:sz="0" w:space="0" w:color="auto"/>
            <w:left w:val="none" w:sz="0" w:space="0" w:color="auto"/>
            <w:bottom w:val="none" w:sz="0" w:space="0" w:color="auto"/>
            <w:right w:val="none" w:sz="0" w:space="0" w:color="auto"/>
          </w:divBdr>
        </w:div>
      </w:divsChild>
    </w:div>
    <w:div w:id="1058942333">
      <w:bodyDiv w:val="1"/>
      <w:marLeft w:val="0"/>
      <w:marRight w:val="0"/>
      <w:marTop w:val="0"/>
      <w:marBottom w:val="0"/>
      <w:divBdr>
        <w:top w:val="none" w:sz="0" w:space="0" w:color="auto"/>
        <w:left w:val="none" w:sz="0" w:space="0" w:color="auto"/>
        <w:bottom w:val="none" w:sz="0" w:space="0" w:color="auto"/>
        <w:right w:val="none" w:sz="0" w:space="0" w:color="auto"/>
      </w:divBdr>
      <w:divsChild>
        <w:div w:id="34432323">
          <w:marLeft w:val="3240"/>
          <w:marRight w:val="0"/>
          <w:marTop w:val="82"/>
          <w:marBottom w:val="0"/>
          <w:divBdr>
            <w:top w:val="none" w:sz="0" w:space="0" w:color="auto"/>
            <w:left w:val="none" w:sz="0" w:space="0" w:color="auto"/>
            <w:bottom w:val="none" w:sz="0" w:space="0" w:color="auto"/>
            <w:right w:val="none" w:sz="0" w:space="0" w:color="auto"/>
          </w:divBdr>
        </w:div>
        <w:div w:id="204801783">
          <w:marLeft w:val="1166"/>
          <w:marRight w:val="0"/>
          <w:marTop w:val="115"/>
          <w:marBottom w:val="0"/>
          <w:divBdr>
            <w:top w:val="none" w:sz="0" w:space="0" w:color="auto"/>
            <w:left w:val="none" w:sz="0" w:space="0" w:color="auto"/>
            <w:bottom w:val="none" w:sz="0" w:space="0" w:color="auto"/>
            <w:right w:val="none" w:sz="0" w:space="0" w:color="auto"/>
          </w:divBdr>
        </w:div>
        <w:div w:id="278949778">
          <w:marLeft w:val="1166"/>
          <w:marRight w:val="0"/>
          <w:marTop w:val="115"/>
          <w:marBottom w:val="0"/>
          <w:divBdr>
            <w:top w:val="none" w:sz="0" w:space="0" w:color="auto"/>
            <w:left w:val="none" w:sz="0" w:space="0" w:color="auto"/>
            <w:bottom w:val="none" w:sz="0" w:space="0" w:color="auto"/>
            <w:right w:val="none" w:sz="0" w:space="0" w:color="auto"/>
          </w:divBdr>
        </w:div>
        <w:div w:id="301035187">
          <w:marLeft w:val="547"/>
          <w:marRight w:val="0"/>
          <w:marTop w:val="130"/>
          <w:marBottom w:val="0"/>
          <w:divBdr>
            <w:top w:val="none" w:sz="0" w:space="0" w:color="auto"/>
            <w:left w:val="none" w:sz="0" w:space="0" w:color="auto"/>
            <w:bottom w:val="none" w:sz="0" w:space="0" w:color="auto"/>
            <w:right w:val="none" w:sz="0" w:space="0" w:color="auto"/>
          </w:divBdr>
        </w:div>
        <w:div w:id="327369213">
          <w:marLeft w:val="1800"/>
          <w:marRight w:val="0"/>
          <w:marTop w:val="96"/>
          <w:marBottom w:val="0"/>
          <w:divBdr>
            <w:top w:val="none" w:sz="0" w:space="0" w:color="auto"/>
            <w:left w:val="none" w:sz="0" w:space="0" w:color="auto"/>
            <w:bottom w:val="none" w:sz="0" w:space="0" w:color="auto"/>
            <w:right w:val="none" w:sz="0" w:space="0" w:color="auto"/>
          </w:divBdr>
        </w:div>
        <w:div w:id="385105980">
          <w:marLeft w:val="2520"/>
          <w:marRight w:val="0"/>
          <w:marTop w:val="82"/>
          <w:marBottom w:val="0"/>
          <w:divBdr>
            <w:top w:val="none" w:sz="0" w:space="0" w:color="auto"/>
            <w:left w:val="none" w:sz="0" w:space="0" w:color="auto"/>
            <w:bottom w:val="none" w:sz="0" w:space="0" w:color="auto"/>
            <w:right w:val="none" w:sz="0" w:space="0" w:color="auto"/>
          </w:divBdr>
        </w:div>
        <w:div w:id="791364109">
          <w:marLeft w:val="2520"/>
          <w:marRight w:val="0"/>
          <w:marTop w:val="82"/>
          <w:marBottom w:val="0"/>
          <w:divBdr>
            <w:top w:val="none" w:sz="0" w:space="0" w:color="auto"/>
            <w:left w:val="none" w:sz="0" w:space="0" w:color="auto"/>
            <w:bottom w:val="none" w:sz="0" w:space="0" w:color="auto"/>
            <w:right w:val="none" w:sz="0" w:space="0" w:color="auto"/>
          </w:divBdr>
        </w:div>
        <w:div w:id="1076591061">
          <w:marLeft w:val="2520"/>
          <w:marRight w:val="0"/>
          <w:marTop w:val="82"/>
          <w:marBottom w:val="0"/>
          <w:divBdr>
            <w:top w:val="none" w:sz="0" w:space="0" w:color="auto"/>
            <w:left w:val="none" w:sz="0" w:space="0" w:color="auto"/>
            <w:bottom w:val="none" w:sz="0" w:space="0" w:color="auto"/>
            <w:right w:val="none" w:sz="0" w:space="0" w:color="auto"/>
          </w:divBdr>
        </w:div>
        <w:div w:id="1230189065">
          <w:marLeft w:val="1166"/>
          <w:marRight w:val="0"/>
          <w:marTop w:val="115"/>
          <w:marBottom w:val="0"/>
          <w:divBdr>
            <w:top w:val="none" w:sz="0" w:space="0" w:color="auto"/>
            <w:left w:val="none" w:sz="0" w:space="0" w:color="auto"/>
            <w:bottom w:val="none" w:sz="0" w:space="0" w:color="auto"/>
            <w:right w:val="none" w:sz="0" w:space="0" w:color="auto"/>
          </w:divBdr>
        </w:div>
        <w:div w:id="1238320656">
          <w:marLeft w:val="1800"/>
          <w:marRight w:val="0"/>
          <w:marTop w:val="96"/>
          <w:marBottom w:val="0"/>
          <w:divBdr>
            <w:top w:val="none" w:sz="0" w:space="0" w:color="auto"/>
            <w:left w:val="none" w:sz="0" w:space="0" w:color="auto"/>
            <w:bottom w:val="none" w:sz="0" w:space="0" w:color="auto"/>
            <w:right w:val="none" w:sz="0" w:space="0" w:color="auto"/>
          </w:divBdr>
        </w:div>
        <w:div w:id="1357930599">
          <w:marLeft w:val="1166"/>
          <w:marRight w:val="0"/>
          <w:marTop w:val="115"/>
          <w:marBottom w:val="0"/>
          <w:divBdr>
            <w:top w:val="none" w:sz="0" w:space="0" w:color="auto"/>
            <w:left w:val="none" w:sz="0" w:space="0" w:color="auto"/>
            <w:bottom w:val="none" w:sz="0" w:space="0" w:color="auto"/>
            <w:right w:val="none" w:sz="0" w:space="0" w:color="auto"/>
          </w:divBdr>
        </w:div>
        <w:div w:id="1955676532">
          <w:marLeft w:val="2520"/>
          <w:marRight w:val="0"/>
          <w:marTop w:val="82"/>
          <w:marBottom w:val="0"/>
          <w:divBdr>
            <w:top w:val="none" w:sz="0" w:space="0" w:color="auto"/>
            <w:left w:val="none" w:sz="0" w:space="0" w:color="auto"/>
            <w:bottom w:val="none" w:sz="0" w:space="0" w:color="auto"/>
            <w:right w:val="none" w:sz="0" w:space="0" w:color="auto"/>
          </w:divBdr>
        </w:div>
      </w:divsChild>
    </w:div>
    <w:div w:id="1077363006">
      <w:bodyDiv w:val="1"/>
      <w:marLeft w:val="0"/>
      <w:marRight w:val="0"/>
      <w:marTop w:val="0"/>
      <w:marBottom w:val="0"/>
      <w:divBdr>
        <w:top w:val="none" w:sz="0" w:space="0" w:color="auto"/>
        <w:left w:val="none" w:sz="0" w:space="0" w:color="auto"/>
        <w:bottom w:val="none" w:sz="0" w:space="0" w:color="auto"/>
        <w:right w:val="none" w:sz="0" w:space="0" w:color="auto"/>
      </w:divBdr>
    </w:div>
    <w:div w:id="1091462341">
      <w:bodyDiv w:val="1"/>
      <w:marLeft w:val="0"/>
      <w:marRight w:val="0"/>
      <w:marTop w:val="0"/>
      <w:marBottom w:val="0"/>
      <w:divBdr>
        <w:top w:val="none" w:sz="0" w:space="0" w:color="auto"/>
        <w:left w:val="none" w:sz="0" w:space="0" w:color="auto"/>
        <w:bottom w:val="none" w:sz="0" w:space="0" w:color="auto"/>
        <w:right w:val="none" w:sz="0" w:space="0" w:color="auto"/>
      </w:divBdr>
    </w:div>
    <w:div w:id="1100178738">
      <w:bodyDiv w:val="1"/>
      <w:marLeft w:val="0"/>
      <w:marRight w:val="0"/>
      <w:marTop w:val="0"/>
      <w:marBottom w:val="0"/>
      <w:divBdr>
        <w:top w:val="none" w:sz="0" w:space="0" w:color="auto"/>
        <w:left w:val="none" w:sz="0" w:space="0" w:color="auto"/>
        <w:bottom w:val="none" w:sz="0" w:space="0" w:color="auto"/>
        <w:right w:val="none" w:sz="0" w:space="0" w:color="auto"/>
      </w:divBdr>
      <w:divsChild>
        <w:div w:id="1545409365">
          <w:marLeft w:val="547"/>
          <w:marRight w:val="72"/>
          <w:marTop w:val="0"/>
          <w:marBottom w:val="0"/>
          <w:divBdr>
            <w:top w:val="none" w:sz="0" w:space="0" w:color="auto"/>
            <w:left w:val="none" w:sz="0" w:space="0" w:color="auto"/>
            <w:bottom w:val="none" w:sz="0" w:space="0" w:color="auto"/>
            <w:right w:val="none" w:sz="0" w:space="0" w:color="auto"/>
          </w:divBdr>
        </w:div>
      </w:divsChild>
    </w:div>
    <w:div w:id="1107581899">
      <w:bodyDiv w:val="1"/>
      <w:marLeft w:val="0"/>
      <w:marRight w:val="0"/>
      <w:marTop w:val="0"/>
      <w:marBottom w:val="0"/>
      <w:divBdr>
        <w:top w:val="none" w:sz="0" w:space="0" w:color="auto"/>
        <w:left w:val="none" w:sz="0" w:space="0" w:color="auto"/>
        <w:bottom w:val="none" w:sz="0" w:space="0" w:color="auto"/>
        <w:right w:val="none" w:sz="0" w:space="0" w:color="auto"/>
      </w:divBdr>
      <w:divsChild>
        <w:div w:id="998384698">
          <w:marLeft w:val="1166"/>
          <w:marRight w:val="0"/>
          <w:marTop w:val="115"/>
          <w:marBottom w:val="0"/>
          <w:divBdr>
            <w:top w:val="none" w:sz="0" w:space="0" w:color="auto"/>
            <w:left w:val="none" w:sz="0" w:space="0" w:color="auto"/>
            <w:bottom w:val="none" w:sz="0" w:space="0" w:color="auto"/>
            <w:right w:val="none" w:sz="0" w:space="0" w:color="auto"/>
          </w:divBdr>
        </w:div>
        <w:div w:id="1331366718">
          <w:marLeft w:val="1166"/>
          <w:marRight w:val="0"/>
          <w:marTop w:val="115"/>
          <w:marBottom w:val="0"/>
          <w:divBdr>
            <w:top w:val="none" w:sz="0" w:space="0" w:color="auto"/>
            <w:left w:val="none" w:sz="0" w:space="0" w:color="auto"/>
            <w:bottom w:val="none" w:sz="0" w:space="0" w:color="auto"/>
            <w:right w:val="none" w:sz="0" w:space="0" w:color="auto"/>
          </w:divBdr>
        </w:div>
        <w:div w:id="1628775299">
          <w:marLeft w:val="1166"/>
          <w:marRight w:val="0"/>
          <w:marTop w:val="115"/>
          <w:marBottom w:val="0"/>
          <w:divBdr>
            <w:top w:val="none" w:sz="0" w:space="0" w:color="auto"/>
            <w:left w:val="none" w:sz="0" w:space="0" w:color="auto"/>
            <w:bottom w:val="none" w:sz="0" w:space="0" w:color="auto"/>
            <w:right w:val="none" w:sz="0" w:space="0" w:color="auto"/>
          </w:divBdr>
        </w:div>
        <w:div w:id="2069112980">
          <w:marLeft w:val="1166"/>
          <w:marRight w:val="0"/>
          <w:marTop w:val="115"/>
          <w:marBottom w:val="0"/>
          <w:divBdr>
            <w:top w:val="none" w:sz="0" w:space="0" w:color="auto"/>
            <w:left w:val="none" w:sz="0" w:space="0" w:color="auto"/>
            <w:bottom w:val="none" w:sz="0" w:space="0" w:color="auto"/>
            <w:right w:val="none" w:sz="0" w:space="0" w:color="auto"/>
          </w:divBdr>
        </w:div>
      </w:divsChild>
    </w:div>
    <w:div w:id="1111128464">
      <w:bodyDiv w:val="1"/>
      <w:marLeft w:val="0"/>
      <w:marRight w:val="0"/>
      <w:marTop w:val="0"/>
      <w:marBottom w:val="0"/>
      <w:divBdr>
        <w:top w:val="none" w:sz="0" w:space="0" w:color="auto"/>
        <w:left w:val="none" w:sz="0" w:space="0" w:color="auto"/>
        <w:bottom w:val="none" w:sz="0" w:space="0" w:color="auto"/>
        <w:right w:val="none" w:sz="0" w:space="0" w:color="auto"/>
      </w:divBdr>
    </w:div>
    <w:div w:id="1127044295">
      <w:bodyDiv w:val="1"/>
      <w:marLeft w:val="0"/>
      <w:marRight w:val="0"/>
      <w:marTop w:val="0"/>
      <w:marBottom w:val="0"/>
      <w:divBdr>
        <w:top w:val="none" w:sz="0" w:space="0" w:color="auto"/>
        <w:left w:val="none" w:sz="0" w:space="0" w:color="auto"/>
        <w:bottom w:val="none" w:sz="0" w:space="0" w:color="auto"/>
        <w:right w:val="none" w:sz="0" w:space="0" w:color="auto"/>
      </w:divBdr>
    </w:div>
    <w:div w:id="1148086392">
      <w:bodyDiv w:val="1"/>
      <w:marLeft w:val="0"/>
      <w:marRight w:val="0"/>
      <w:marTop w:val="0"/>
      <w:marBottom w:val="0"/>
      <w:divBdr>
        <w:top w:val="none" w:sz="0" w:space="0" w:color="auto"/>
        <w:left w:val="none" w:sz="0" w:space="0" w:color="auto"/>
        <w:bottom w:val="none" w:sz="0" w:space="0" w:color="auto"/>
        <w:right w:val="none" w:sz="0" w:space="0" w:color="auto"/>
      </w:divBdr>
    </w:div>
    <w:div w:id="1149324723">
      <w:bodyDiv w:val="1"/>
      <w:marLeft w:val="0"/>
      <w:marRight w:val="0"/>
      <w:marTop w:val="0"/>
      <w:marBottom w:val="0"/>
      <w:divBdr>
        <w:top w:val="none" w:sz="0" w:space="0" w:color="auto"/>
        <w:left w:val="none" w:sz="0" w:space="0" w:color="auto"/>
        <w:bottom w:val="none" w:sz="0" w:space="0" w:color="auto"/>
        <w:right w:val="none" w:sz="0" w:space="0" w:color="auto"/>
      </w:divBdr>
      <w:divsChild>
        <w:div w:id="184558976">
          <w:marLeft w:val="1080"/>
          <w:marRight w:val="0"/>
          <w:marTop w:val="100"/>
          <w:marBottom w:val="0"/>
          <w:divBdr>
            <w:top w:val="none" w:sz="0" w:space="0" w:color="auto"/>
            <w:left w:val="none" w:sz="0" w:space="0" w:color="auto"/>
            <w:bottom w:val="none" w:sz="0" w:space="0" w:color="auto"/>
            <w:right w:val="none" w:sz="0" w:space="0" w:color="auto"/>
          </w:divBdr>
        </w:div>
        <w:div w:id="441071266">
          <w:marLeft w:val="1080"/>
          <w:marRight w:val="0"/>
          <w:marTop w:val="100"/>
          <w:marBottom w:val="0"/>
          <w:divBdr>
            <w:top w:val="none" w:sz="0" w:space="0" w:color="auto"/>
            <w:left w:val="none" w:sz="0" w:space="0" w:color="auto"/>
            <w:bottom w:val="none" w:sz="0" w:space="0" w:color="auto"/>
            <w:right w:val="none" w:sz="0" w:space="0" w:color="auto"/>
          </w:divBdr>
        </w:div>
        <w:div w:id="1182552523">
          <w:marLeft w:val="360"/>
          <w:marRight w:val="0"/>
          <w:marTop w:val="200"/>
          <w:marBottom w:val="0"/>
          <w:divBdr>
            <w:top w:val="none" w:sz="0" w:space="0" w:color="auto"/>
            <w:left w:val="none" w:sz="0" w:space="0" w:color="auto"/>
            <w:bottom w:val="none" w:sz="0" w:space="0" w:color="auto"/>
            <w:right w:val="none" w:sz="0" w:space="0" w:color="auto"/>
          </w:divBdr>
        </w:div>
        <w:div w:id="1388335048">
          <w:marLeft w:val="360"/>
          <w:marRight w:val="0"/>
          <w:marTop w:val="200"/>
          <w:marBottom w:val="0"/>
          <w:divBdr>
            <w:top w:val="none" w:sz="0" w:space="0" w:color="auto"/>
            <w:left w:val="none" w:sz="0" w:space="0" w:color="auto"/>
            <w:bottom w:val="none" w:sz="0" w:space="0" w:color="auto"/>
            <w:right w:val="none" w:sz="0" w:space="0" w:color="auto"/>
          </w:divBdr>
        </w:div>
        <w:div w:id="1421292269">
          <w:marLeft w:val="360"/>
          <w:marRight w:val="0"/>
          <w:marTop w:val="200"/>
          <w:marBottom w:val="0"/>
          <w:divBdr>
            <w:top w:val="none" w:sz="0" w:space="0" w:color="auto"/>
            <w:left w:val="none" w:sz="0" w:space="0" w:color="auto"/>
            <w:bottom w:val="none" w:sz="0" w:space="0" w:color="auto"/>
            <w:right w:val="none" w:sz="0" w:space="0" w:color="auto"/>
          </w:divBdr>
        </w:div>
      </w:divsChild>
    </w:div>
    <w:div w:id="1156258905">
      <w:bodyDiv w:val="1"/>
      <w:marLeft w:val="0"/>
      <w:marRight w:val="0"/>
      <w:marTop w:val="0"/>
      <w:marBottom w:val="0"/>
      <w:divBdr>
        <w:top w:val="none" w:sz="0" w:space="0" w:color="auto"/>
        <w:left w:val="none" w:sz="0" w:space="0" w:color="auto"/>
        <w:bottom w:val="none" w:sz="0" w:space="0" w:color="auto"/>
        <w:right w:val="none" w:sz="0" w:space="0" w:color="auto"/>
      </w:divBdr>
    </w:div>
    <w:div w:id="1156722260">
      <w:bodyDiv w:val="1"/>
      <w:marLeft w:val="0"/>
      <w:marRight w:val="0"/>
      <w:marTop w:val="0"/>
      <w:marBottom w:val="0"/>
      <w:divBdr>
        <w:top w:val="none" w:sz="0" w:space="0" w:color="auto"/>
        <w:left w:val="none" w:sz="0" w:space="0" w:color="auto"/>
        <w:bottom w:val="none" w:sz="0" w:space="0" w:color="auto"/>
        <w:right w:val="none" w:sz="0" w:space="0" w:color="auto"/>
      </w:divBdr>
    </w:div>
    <w:div w:id="1164514547">
      <w:bodyDiv w:val="1"/>
      <w:marLeft w:val="0"/>
      <w:marRight w:val="0"/>
      <w:marTop w:val="0"/>
      <w:marBottom w:val="0"/>
      <w:divBdr>
        <w:top w:val="none" w:sz="0" w:space="0" w:color="auto"/>
        <w:left w:val="none" w:sz="0" w:space="0" w:color="auto"/>
        <w:bottom w:val="none" w:sz="0" w:space="0" w:color="auto"/>
        <w:right w:val="none" w:sz="0" w:space="0" w:color="auto"/>
      </w:divBdr>
      <w:divsChild>
        <w:div w:id="283729735">
          <w:marLeft w:val="1166"/>
          <w:marRight w:val="0"/>
          <w:marTop w:val="72"/>
          <w:marBottom w:val="0"/>
          <w:divBdr>
            <w:top w:val="none" w:sz="0" w:space="0" w:color="auto"/>
            <w:left w:val="none" w:sz="0" w:space="0" w:color="auto"/>
            <w:bottom w:val="none" w:sz="0" w:space="0" w:color="auto"/>
            <w:right w:val="none" w:sz="0" w:space="0" w:color="auto"/>
          </w:divBdr>
        </w:div>
        <w:div w:id="518199136">
          <w:marLeft w:val="547"/>
          <w:marRight w:val="0"/>
          <w:marTop w:val="72"/>
          <w:marBottom w:val="0"/>
          <w:divBdr>
            <w:top w:val="none" w:sz="0" w:space="0" w:color="auto"/>
            <w:left w:val="none" w:sz="0" w:space="0" w:color="auto"/>
            <w:bottom w:val="none" w:sz="0" w:space="0" w:color="auto"/>
            <w:right w:val="none" w:sz="0" w:space="0" w:color="auto"/>
          </w:divBdr>
        </w:div>
        <w:div w:id="873227356">
          <w:marLeft w:val="1800"/>
          <w:marRight w:val="0"/>
          <w:marTop w:val="72"/>
          <w:marBottom w:val="0"/>
          <w:divBdr>
            <w:top w:val="none" w:sz="0" w:space="0" w:color="auto"/>
            <w:left w:val="none" w:sz="0" w:space="0" w:color="auto"/>
            <w:bottom w:val="none" w:sz="0" w:space="0" w:color="auto"/>
            <w:right w:val="none" w:sz="0" w:space="0" w:color="auto"/>
          </w:divBdr>
        </w:div>
        <w:div w:id="1132016546">
          <w:marLeft w:val="1800"/>
          <w:marRight w:val="0"/>
          <w:marTop w:val="72"/>
          <w:marBottom w:val="0"/>
          <w:divBdr>
            <w:top w:val="none" w:sz="0" w:space="0" w:color="auto"/>
            <w:left w:val="none" w:sz="0" w:space="0" w:color="auto"/>
            <w:bottom w:val="none" w:sz="0" w:space="0" w:color="auto"/>
            <w:right w:val="none" w:sz="0" w:space="0" w:color="auto"/>
          </w:divBdr>
        </w:div>
        <w:div w:id="1902207365">
          <w:marLeft w:val="1800"/>
          <w:marRight w:val="0"/>
          <w:marTop w:val="72"/>
          <w:marBottom w:val="0"/>
          <w:divBdr>
            <w:top w:val="none" w:sz="0" w:space="0" w:color="auto"/>
            <w:left w:val="none" w:sz="0" w:space="0" w:color="auto"/>
            <w:bottom w:val="none" w:sz="0" w:space="0" w:color="auto"/>
            <w:right w:val="none" w:sz="0" w:space="0" w:color="auto"/>
          </w:divBdr>
        </w:div>
      </w:divsChild>
    </w:div>
    <w:div w:id="1182233817">
      <w:bodyDiv w:val="1"/>
      <w:marLeft w:val="0"/>
      <w:marRight w:val="0"/>
      <w:marTop w:val="0"/>
      <w:marBottom w:val="0"/>
      <w:divBdr>
        <w:top w:val="none" w:sz="0" w:space="0" w:color="auto"/>
        <w:left w:val="none" w:sz="0" w:space="0" w:color="auto"/>
        <w:bottom w:val="none" w:sz="0" w:space="0" w:color="auto"/>
        <w:right w:val="none" w:sz="0" w:space="0" w:color="auto"/>
      </w:divBdr>
    </w:div>
    <w:div w:id="1183282266">
      <w:bodyDiv w:val="1"/>
      <w:marLeft w:val="0"/>
      <w:marRight w:val="0"/>
      <w:marTop w:val="0"/>
      <w:marBottom w:val="0"/>
      <w:divBdr>
        <w:top w:val="none" w:sz="0" w:space="0" w:color="auto"/>
        <w:left w:val="none" w:sz="0" w:space="0" w:color="auto"/>
        <w:bottom w:val="none" w:sz="0" w:space="0" w:color="auto"/>
        <w:right w:val="none" w:sz="0" w:space="0" w:color="auto"/>
      </w:divBdr>
    </w:div>
    <w:div w:id="1199512787">
      <w:bodyDiv w:val="1"/>
      <w:marLeft w:val="0"/>
      <w:marRight w:val="0"/>
      <w:marTop w:val="0"/>
      <w:marBottom w:val="0"/>
      <w:divBdr>
        <w:top w:val="none" w:sz="0" w:space="0" w:color="auto"/>
        <w:left w:val="none" w:sz="0" w:space="0" w:color="auto"/>
        <w:bottom w:val="none" w:sz="0" w:space="0" w:color="auto"/>
        <w:right w:val="none" w:sz="0" w:space="0" w:color="auto"/>
      </w:divBdr>
    </w:div>
    <w:div w:id="1200170719">
      <w:bodyDiv w:val="1"/>
      <w:marLeft w:val="0"/>
      <w:marRight w:val="0"/>
      <w:marTop w:val="0"/>
      <w:marBottom w:val="0"/>
      <w:divBdr>
        <w:top w:val="none" w:sz="0" w:space="0" w:color="auto"/>
        <w:left w:val="none" w:sz="0" w:space="0" w:color="auto"/>
        <w:bottom w:val="none" w:sz="0" w:space="0" w:color="auto"/>
        <w:right w:val="none" w:sz="0" w:space="0" w:color="auto"/>
      </w:divBdr>
    </w:div>
    <w:div w:id="1201015084">
      <w:bodyDiv w:val="1"/>
      <w:marLeft w:val="0"/>
      <w:marRight w:val="0"/>
      <w:marTop w:val="0"/>
      <w:marBottom w:val="0"/>
      <w:divBdr>
        <w:top w:val="none" w:sz="0" w:space="0" w:color="auto"/>
        <w:left w:val="none" w:sz="0" w:space="0" w:color="auto"/>
        <w:bottom w:val="none" w:sz="0" w:space="0" w:color="auto"/>
        <w:right w:val="none" w:sz="0" w:space="0" w:color="auto"/>
      </w:divBdr>
      <w:divsChild>
        <w:div w:id="85268286">
          <w:marLeft w:val="1800"/>
          <w:marRight w:val="0"/>
          <w:marTop w:val="72"/>
          <w:marBottom w:val="0"/>
          <w:divBdr>
            <w:top w:val="none" w:sz="0" w:space="0" w:color="auto"/>
            <w:left w:val="none" w:sz="0" w:space="0" w:color="auto"/>
            <w:bottom w:val="none" w:sz="0" w:space="0" w:color="auto"/>
            <w:right w:val="none" w:sz="0" w:space="0" w:color="auto"/>
          </w:divBdr>
        </w:div>
        <w:div w:id="504906033">
          <w:marLeft w:val="2520"/>
          <w:marRight w:val="0"/>
          <w:marTop w:val="72"/>
          <w:marBottom w:val="0"/>
          <w:divBdr>
            <w:top w:val="none" w:sz="0" w:space="0" w:color="auto"/>
            <w:left w:val="none" w:sz="0" w:space="0" w:color="auto"/>
            <w:bottom w:val="none" w:sz="0" w:space="0" w:color="auto"/>
            <w:right w:val="none" w:sz="0" w:space="0" w:color="auto"/>
          </w:divBdr>
        </w:div>
        <w:div w:id="748650166">
          <w:marLeft w:val="1800"/>
          <w:marRight w:val="0"/>
          <w:marTop w:val="72"/>
          <w:marBottom w:val="0"/>
          <w:divBdr>
            <w:top w:val="none" w:sz="0" w:space="0" w:color="auto"/>
            <w:left w:val="none" w:sz="0" w:space="0" w:color="auto"/>
            <w:bottom w:val="none" w:sz="0" w:space="0" w:color="auto"/>
            <w:right w:val="none" w:sz="0" w:space="0" w:color="auto"/>
          </w:divBdr>
        </w:div>
        <w:div w:id="1400982754">
          <w:marLeft w:val="1166"/>
          <w:marRight w:val="0"/>
          <w:marTop w:val="72"/>
          <w:marBottom w:val="0"/>
          <w:divBdr>
            <w:top w:val="none" w:sz="0" w:space="0" w:color="auto"/>
            <w:left w:val="none" w:sz="0" w:space="0" w:color="auto"/>
            <w:bottom w:val="none" w:sz="0" w:space="0" w:color="auto"/>
            <w:right w:val="none" w:sz="0" w:space="0" w:color="auto"/>
          </w:divBdr>
        </w:div>
        <w:div w:id="2059429739">
          <w:marLeft w:val="2520"/>
          <w:marRight w:val="0"/>
          <w:marTop w:val="72"/>
          <w:marBottom w:val="0"/>
          <w:divBdr>
            <w:top w:val="none" w:sz="0" w:space="0" w:color="auto"/>
            <w:left w:val="none" w:sz="0" w:space="0" w:color="auto"/>
            <w:bottom w:val="none" w:sz="0" w:space="0" w:color="auto"/>
            <w:right w:val="none" w:sz="0" w:space="0" w:color="auto"/>
          </w:divBdr>
        </w:div>
      </w:divsChild>
    </w:div>
    <w:div w:id="1203252831">
      <w:bodyDiv w:val="1"/>
      <w:marLeft w:val="0"/>
      <w:marRight w:val="0"/>
      <w:marTop w:val="0"/>
      <w:marBottom w:val="0"/>
      <w:divBdr>
        <w:top w:val="none" w:sz="0" w:space="0" w:color="auto"/>
        <w:left w:val="none" w:sz="0" w:space="0" w:color="auto"/>
        <w:bottom w:val="none" w:sz="0" w:space="0" w:color="auto"/>
        <w:right w:val="none" w:sz="0" w:space="0" w:color="auto"/>
      </w:divBdr>
    </w:div>
    <w:div w:id="1207909698">
      <w:bodyDiv w:val="1"/>
      <w:marLeft w:val="0"/>
      <w:marRight w:val="0"/>
      <w:marTop w:val="0"/>
      <w:marBottom w:val="0"/>
      <w:divBdr>
        <w:top w:val="none" w:sz="0" w:space="0" w:color="auto"/>
        <w:left w:val="none" w:sz="0" w:space="0" w:color="auto"/>
        <w:bottom w:val="none" w:sz="0" w:space="0" w:color="auto"/>
        <w:right w:val="none" w:sz="0" w:space="0" w:color="auto"/>
      </w:divBdr>
    </w:div>
    <w:div w:id="1251351767">
      <w:bodyDiv w:val="1"/>
      <w:marLeft w:val="0"/>
      <w:marRight w:val="0"/>
      <w:marTop w:val="0"/>
      <w:marBottom w:val="0"/>
      <w:divBdr>
        <w:top w:val="none" w:sz="0" w:space="0" w:color="auto"/>
        <w:left w:val="none" w:sz="0" w:space="0" w:color="auto"/>
        <w:bottom w:val="none" w:sz="0" w:space="0" w:color="auto"/>
        <w:right w:val="none" w:sz="0" w:space="0" w:color="auto"/>
      </w:divBdr>
    </w:div>
    <w:div w:id="1259829614">
      <w:bodyDiv w:val="1"/>
      <w:marLeft w:val="0"/>
      <w:marRight w:val="0"/>
      <w:marTop w:val="0"/>
      <w:marBottom w:val="0"/>
      <w:divBdr>
        <w:top w:val="none" w:sz="0" w:space="0" w:color="auto"/>
        <w:left w:val="none" w:sz="0" w:space="0" w:color="auto"/>
        <w:bottom w:val="none" w:sz="0" w:space="0" w:color="auto"/>
        <w:right w:val="none" w:sz="0" w:space="0" w:color="auto"/>
      </w:divBdr>
      <w:divsChild>
        <w:div w:id="18430275">
          <w:marLeft w:val="1800"/>
          <w:marRight w:val="0"/>
          <w:marTop w:val="96"/>
          <w:marBottom w:val="0"/>
          <w:divBdr>
            <w:top w:val="none" w:sz="0" w:space="0" w:color="auto"/>
            <w:left w:val="none" w:sz="0" w:space="0" w:color="auto"/>
            <w:bottom w:val="none" w:sz="0" w:space="0" w:color="auto"/>
            <w:right w:val="none" w:sz="0" w:space="0" w:color="auto"/>
          </w:divBdr>
        </w:div>
        <w:div w:id="742147524">
          <w:marLeft w:val="1166"/>
          <w:marRight w:val="0"/>
          <w:marTop w:val="115"/>
          <w:marBottom w:val="0"/>
          <w:divBdr>
            <w:top w:val="none" w:sz="0" w:space="0" w:color="auto"/>
            <w:left w:val="none" w:sz="0" w:space="0" w:color="auto"/>
            <w:bottom w:val="none" w:sz="0" w:space="0" w:color="auto"/>
            <w:right w:val="none" w:sz="0" w:space="0" w:color="auto"/>
          </w:divBdr>
        </w:div>
        <w:div w:id="1423070106">
          <w:marLeft w:val="1800"/>
          <w:marRight w:val="0"/>
          <w:marTop w:val="96"/>
          <w:marBottom w:val="0"/>
          <w:divBdr>
            <w:top w:val="none" w:sz="0" w:space="0" w:color="auto"/>
            <w:left w:val="none" w:sz="0" w:space="0" w:color="auto"/>
            <w:bottom w:val="none" w:sz="0" w:space="0" w:color="auto"/>
            <w:right w:val="none" w:sz="0" w:space="0" w:color="auto"/>
          </w:divBdr>
        </w:div>
      </w:divsChild>
    </w:div>
    <w:div w:id="1281910020">
      <w:bodyDiv w:val="1"/>
      <w:marLeft w:val="0"/>
      <w:marRight w:val="0"/>
      <w:marTop w:val="0"/>
      <w:marBottom w:val="0"/>
      <w:divBdr>
        <w:top w:val="none" w:sz="0" w:space="0" w:color="auto"/>
        <w:left w:val="none" w:sz="0" w:space="0" w:color="auto"/>
        <w:bottom w:val="none" w:sz="0" w:space="0" w:color="auto"/>
        <w:right w:val="none" w:sz="0" w:space="0" w:color="auto"/>
      </w:divBdr>
    </w:div>
    <w:div w:id="1282031878">
      <w:bodyDiv w:val="1"/>
      <w:marLeft w:val="0"/>
      <w:marRight w:val="0"/>
      <w:marTop w:val="0"/>
      <w:marBottom w:val="0"/>
      <w:divBdr>
        <w:top w:val="none" w:sz="0" w:space="0" w:color="auto"/>
        <w:left w:val="none" w:sz="0" w:space="0" w:color="auto"/>
        <w:bottom w:val="none" w:sz="0" w:space="0" w:color="auto"/>
        <w:right w:val="none" w:sz="0" w:space="0" w:color="auto"/>
      </w:divBdr>
    </w:div>
    <w:div w:id="1282417175">
      <w:bodyDiv w:val="1"/>
      <w:marLeft w:val="0"/>
      <w:marRight w:val="0"/>
      <w:marTop w:val="0"/>
      <w:marBottom w:val="0"/>
      <w:divBdr>
        <w:top w:val="none" w:sz="0" w:space="0" w:color="auto"/>
        <w:left w:val="none" w:sz="0" w:space="0" w:color="auto"/>
        <w:bottom w:val="none" w:sz="0" w:space="0" w:color="auto"/>
        <w:right w:val="none" w:sz="0" w:space="0" w:color="auto"/>
      </w:divBdr>
    </w:div>
    <w:div w:id="1291857352">
      <w:bodyDiv w:val="1"/>
      <w:marLeft w:val="0"/>
      <w:marRight w:val="0"/>
      <w:marTop w:val="0"/>
      <w:marBottom w:val="0"/>
      <w:divBdr>
        <w:top w:val="none" w:sz="0" w:space="0" w:color="auto"/>
        <w:left w:val="none" w:sz="0" w:space="0" w:color="auto"/>
        <w:bottom w:val="none" w:sz="0" w:space="0" w:color="auto"/>
        <w:right w:val="none" w:sz="0" w:space="0" w:color="auto"/>
      </w:divBdr>
    </w:div>
    <w:div w:id="1294015811">
      <w:bodyDiv w:val="1"/>
      <w:marLeft w:val="0"/>
      <w:marRight w:val="0"/>
      <w:marTop w:val="0"/>
      <w:marBottom w:val="0"/>
      <w:divBdr>
        <w:top w:val="none" w:sz="0" w:space="0" w:color="auto"/>
        <w:left w:val="none" w:sz="0" w:space="0" w:color="auto"/>
        <w:bottom w:val="none" w:sz="0" w:space="0" w:color="auto"/>
        <w:right w:val="none" w:sz="0" w:space="0" w:color="auto"/>
      </w:divBdr>
      <w:divsChild>
        <w:div w:id="11499604">
          <w:marLeft w:val="547"/>
          <w:marRight w:val="0"/>
          <w:marTop w:val="0"/>
          <w:marBottom w:val="0"/>
          <w:divBdr>
            <w:top w:val="none" w:sz="0" w:space="0" w:color="auto"/>
            <w:left w:val="none" w:sz="0" w:space="0" w:color="auto"/>
            <w:bottom w:val="none" w:sz="0" w:space="0" w:color="auto"/>
            <w:right w:val="none" w:sz="0" w:space="0" w:color="auto"/>
          </w:divBdr>
        </w:div>
        <w:div w:id="1891728736">
          <w:marLeft w:val="547"/>
          <w:marRight w:val="0"/>
          <w:marTop w:val="0"/>
          <w:marBottom w:val="0"/>
          <w:divBdr>
            <w:top w:val="none" w:sz="0" w:space="0" w:color="auto"/>
            <w:left w:val="none" w:sz="0" w:space="0" w:color="auto"/>
            <w:bottom w:val="none" w:sz="0" w:space="0" w:color="auto"/>
            <w:right w:val="none" w:sz="0" w:space="0" w:color="auto"/>
          </w:divBdr>
        </w:div>
      </w:divsChild>
    </w:div>
    <w:div w:id="1321733126">
      <w:bodyDiv w:val="1"/>
      <w:marLeft w:val="0"/>
      <w:marRight w:val="0"/>
      <w:marTop w:val="0"/>
      <w:marBottom w:val="0"/>
      <w:divBdr>
        <w:top w:val="none" w:sz="0" w:space="0" w:color="auto"/>
        <w:left w:val="none" w:sz="0" w:space="0" w:color="auto"/>
        <w:bottom w:val="none" w:sz="0" w:space="0" w:color="auto"/>
        <w:right w:val="none" w:sz="0" w:space="0" w:color="auto"/>
      </w:divBdr>
    </w:div>
    <w:div w:id="1330131817">
      <w:bodyDiv w:val="1"/>
      <w:marLeft w:val="0"/>
      <w:marRight w:val="0"/>
      <w:marTop w:val="0"/>
      <w:marBottom w:val="0"/>
      <w:divBdr>
        <w:top w:val="none" w:sz="0" w:space="0" w:color="auto"/>
        <w:left w:val="none" w:sz="0" w:space="0" w:color="auto"/>
        <w:bottom w:val="none" w:sz="0" w:space="0" w:color="auto"/>
        <w:right w:val="none" w:sz="0" w:space="0" w:color="auto"/>
      </w:divBdr>
    </w:div>
    <w:div w:id="1352149452">
      <w:bodyDiv w:val="1"/>
      <w:marLeft w:val="0"/>
      <w:marRight w:val="0"/>
      <w:marTop w:val="0"/>
      <w:marBottom w:val="0"/>
      <w:divBdr>
        <w:top w:val="none" w:sz="0" w:space="0" w:color="auto"/>
        <w:left w:val="none" w:sz="0" w:space="0" w:color="auto"/>
        <w:bottom w:val="none" w:sz="0" w:space="0" w:color="auto"/>
        <w:right w:val="none" w:sz="0" w:space="0" w:color="auto"/>
      </w:divBdr>
    </w:div>
    <w:div w:id="1373118196">
      <w:bodyDiv w:val="1"/>
      <w:marLeft w:val="0"/>
      <w:marRight w:val="0"/>
      <w:marTop w:val="0"/>
      <w:marBottom w:val="0"/>
      <w:divBdr>
        <w:top w:val="none" w:sz="0" w:space="0" w:color="auto"/>
        <w:left w:val="none" w:sz="0" w:space="0" w:color="auto"/>
        <w:bottom w:val="none" w:sz="0" w:space="0" w:color="auto"/>
        <w:right w:val="none" w:sz="0" w:space="0" w:color="auto"/>
      </w:divBdr>
    </w:div>
    <w:div w:id="1373455844">
      <w:bodyDiv w:val="1"/>
      <w:marLeft w:val="0"/>
      <w:marRight w:val="0"/>
      <w:marTop w:val="0"/>
      <w:marBottom w:val="0"/>
      <w:divBdr>
        <w:top w:val="none" w:sz="0" w:space="0" w:color="auto"/>
        <w:left w:val="none" w:sz="0" w:space="0" w:color="auto"/>
        <w:bottom w:val="none" w:sz="0" w:space="0" w:color="auto"/>
        <w:right w:val="none" w:sz="0" w:space="0" w:color="auto"/>
      </w:divBdr>
    </w:div>
    <w:div w:id="1375620793">
      <w:bodyDiv w:val="1"/>
      <w:marLeft w:val="0"/>
      <w:marRight w:val="0"/>
      <w:marTop w:val="0"/>
      <w:marBottom w:val="0"/>
      <w:divBdr>
        <w:top w:val="none" w:sz="0" w:space="0" w:color="auto"/>
        <w:left w:val="none" w:sz="0" w:space="0" w:color="auto"/>
        <w:bottom w:val="none" w:sz="0" w:space="0" w:color="auto"/>
        <w:right w:val="none" w:sz="0" w:space="0" w:color="auto"/>
      </w:divBdr>
    </w:div>
    <w:div w:id="1380204463">
      <w:bodyDiv w:val="1"/>
      <w:marLeft w:val="0"/>
      <w:marRight w:val="0"/>
      <w:marTop w:val="0"/>
      <w:marBottom w:val="0"/>
      <w:divBdr>
        <w:top w:val="none" w:sz="0" w:space="0" w:color="auto"/>
        <w:left w:val="none" w:sz="0" w:space="0" w:color="auto"/>
        <w:bottom w:val="none" w:sz="0" w:space="0" w:color="auto"/>
        <w:right w:val="none" w:sz="0" w:space="0" w:color="auto"/>
      </w:divBdr>
    </w:div>
    <w:div w:id="1388803151">
      <w:bodyDiv w:val="1"/>
      <w:marLeft w:val="0"/>
      <w:marRight w:val="0"/>
      <w:marTop w:val="0"/>
      <w:marBottom w:val="0"/>
      <w:divBdr>
        <w:top w:val="none" w:sz="0" w:space="0" w:color="auto"/>
        <w:left w:val="none" w:sz="0" w:space="0" w:color="auto"/>
        <w:bottom w:val="none" w:sz="0" w:space="0" w:color="auto"/>
        <w:right w:val="none" w:sz="0" w:space="0" w:color="auto"/>
      </w:divBdr>
    </w:div>
    <w:div w:id="1407418345">
      <w:bodyDiv w:val="1"/>
      <w:marLeft w:val="0"/>
      <w:marRight w:val="0"/>
      <w:marTop w:val="0"/>
      <w:marBottom w:val="0"/>
      <w:divBdr>
        <w:top w:val="none" w:sz="0" w:space="0" w:color="auto"/>
        <w:left w:val="none" w:sz="0" w:space="0" w:color="auto"/>
        <w:bottom w:val="none" w:sz="0" w:space="0" w:color="auto"/>
        <w:right w:val="none" w:sz="0" w:space="0" w:color="auto"/>
      </w:divBdr>
    </w:div>
    <w:div w:id="1416904837">
      <w:bodyDiv w:val="1"/>
      <w:marLeft w:val="0"/>
      <w:marRight w:val="0"/>
      <w:marTop w:val="0"/>
      <w:marBottom w:val="0"/>
      <w:divBdr>
        <w:top w:val="none" w:sz="0" w:space="0" w:color="auto"/>
        <w:left w:val="none" w:sz="0" w:space="0" w:color="auto"/>
        <w:bottom w:val="none" w:sz="0" w:space="0" w:color="auto"/>
        <w:right w:val="none" w:sz="0" w:space="0" w:color="auto"/>
      </w:divBdr>
    </w:div>
    <w:div w:id="1428429017">
      <w:bodyDiv w:val="1"/>
      <w:marLeft w:val="0"/>
      <w:marRight w:val="0"/>
      <w:marTop w:val="0"/>
      <w:marBottom w:val="0"/>
      <w:divBdr>
        <w:top w:val="none" w:sz="0" w:space="0" w:color="auto"/>
        <w:left w:val="none" w:sz="0" w:space="0" w:color="auto"/>
        <w:bottom w:val="none" w:sz="0" w:space="0" w:color="auto"/>
        <w:right w:val="none" w:sz="0" w:space="0" w:color="auto"/>
      </w:divBdr>
      <w:divsChild>
        <w:div w:id="840706864">
          <w:marLeft w:val="2520"/>
          <w:marRight w:val="0"/>
          <w:marTop w:val="67"/>
          <w:marBottom w:val="0"/>
          <w:divBdr>
            <w:top w:val="none" w:sz="0" w:space="0" w:color="auto"/>
            <w:left w:val="none" w:sz="0" w:space="0" w:color="auto"/>
            <w:bottom w:val="none" w:sz="0" w:space="0" w:color="auto"/>
            <w:right w:val="none" w:sz="0" w:space="0" w:color="auto"/>
          </w:divBdr>
        </w:div>
      </w:divsChild>
    </w:div>
    <w:div w:id="1429279220">
      <w:bodyDiv w:val="1"/>
      <w:marLeft w:val="0"/>
      <w:marRight w:val="0"/>
      <w:marTop w:val="0"/>
      <w:marBottom w:val="0"/>
      <w:divBdr>
        <w:top w:val="none" w:sz="0" w:space="0" w:color="auto"/>
        <w:left w:val="none" w:sz="0" w:space="0" w:color="auto"/>
        <w:bottom w:val="none" w:sz="0" w:space="0" w:color="auto"/>
        <w:right w:val="none" w:sz="0" w:space="0" w:color="auto"/>
      </w:divBdr>
    </w:div>
    <w:div w:id="1432552926">
      <w:bodyDiv w:val="1"/>
      <w:marLeft w:val="0"/>
      <w:marRight w:val="0"/>
      <w:marTop w:val="0"/>
      <w:marBottom w:val="0"/>
      <w:divBdr>
        <w:top w:val="none" w:sz="0" w:space="0" w:color="auto"/>
        <w:left w:val="none" w:sz="0" w:space="0" w:color="auto"/>
        <w:bottom w:val="none" w:sz="0" w:space="0" w:color="auto"/>
        <w:right w:val="none" w:sz="0" w:space="0" w:color="auto"/>
      </w:divBdr>
    </w:div>
    <w:div w:id="1433932807">
      <w:bodyDiv w:val="1"/>
      <w:marLeft w:val="0"/>
      <w:marRight w:val="0"/>
      <w:marTop w:val="0"/>
      <w:marBottom w:val="0"/>
      <w:divBdr>
        <w:top w:val="none" w:sz="0" w:space="0" w:color="auto"/>
        <w:left w:val="none" w:sz="0" w:space="0" w:color="auto"/>
        <w:bottom w:val="none" w:sz="0" w:space="0" w:color="auto"/>
        <w:right w:val="none" w:sz="0" w:space="0" w:color="auto"/>
      </w:divBdr>
    </w:div>
    <w:div w:id="1441951253">
      <w:bodyDiv w:val="1"/>
      <w:marLeft w:val="0"/>
      <w:marRight w:val="0"/>
      <w:marTop w:val="0"/>
      <w:marBottom w:val="0"/>
      <w:divBdr>
        <w:top w:val="none" w:sz="0" w:space="0" w:color="auto"/>
        <w:left w:val="none" w:sz="0" w:space="0" w:color="auto"/>
        <w:bottom w:val="none" w:sz="0" w:space="0" w:color="auto"/>
        <w:right w:val="none" w:sz="0" w:space="0" w:color="auto"/>
      </w:divBdr>
    </w:div>
    <w:div w:id="1448549430">
      <w:bodyDiv w:val="1"/>
      <w:marLeft w:val="0"/>
      <w:marRight w:val="0"/>
      <w:marTop w:val="0"/>
      <w:marBottom w:val="0"/>
      <w:divBdr>
        <w:top w:val="none" w:sz="0" w:space="0" w:color="auto"/>
        <w:left w:val="none" w:sz="0" w:space="0" w:color="auto"/>
        <w:bottom w:val="none" w:sz="0" w:space="0" w:color="auto"/>
        <w:right w:val="none" w:sz="0" w:space="0" w:color="auto"/>
      </w:divBdr>
      <w:divsChild>
        <w:div w:id="285357590">
          <w:marLeft w:val="1166"/>
          <w:marRight w:val="0"/>
          <w:marTop w:val="86"/>
          <w:marBottom w:val="0"/>
          <w:divBdr>
            <w:top w:val="none" w:sz="0" w:space="0" w:color="auto"/>
            <w:left w:val="none" w:sz="0" w:space="0" w:color="auto"/>
            <w:bottom w:val="none" w:sz="0" w:space="0" w:color="auto"/>
            <w:right w:val="none" w:sz="0" w:space="0" w:color="auto"/>
          </w:divBdr>
        </w:div>
        <w:div w:id="320430311">
          <w:marLeft w:val="547"/>
          <w:marRight w:val="0"/>
          <w:marTop w:val="86"/>
          <w:marBottom w:val="0"/>
          <w:divBdr>
            <w:top w:val="none" w:sz="0" w:space="0" w:color="auto"/>
            <w:left w:val="none" w:sz="0" w:space="0" w:color="auto"/>
            <w:bottom w:val="none" w:sz="0" w:space="0" w:color="auto"/>
            <w:right w:val="none" w:sz="0" w:space="0" w:color="auto"/>
          </w:divBdr>
        </w:div>
        <w:div w:id="614797928">
          <w:marLeft w:val="1166"/>
          <w:marRight w:val="0"/>
          <w:marTop w:val="86"/>
          <w:marBottom w:val="0"/>
          <w:divBdr>
            <w:top w:val="none" w:sz="0" w:space="0" w:color="auto"/>
            <w:left w:val="none" w:sz="0" w:space="0" w:color="auto"/>
            <w:bottom w:val="none" w:sz="0" w:space="0" w:color="auto"/>
            <w:right w:val="none" w:sz="0" w:space="0" w:color="auto"/>
          </w:divBdr>
        </w:div>
        <w:div w:id="723720062">
          <w:marLeft w:val="1166"/>
          <w:marRight w:val="0"/>
          <w:marTop w:val="86"/>
          <w:marBottom w:val="0"/>
          <w:divBdr>
            <w:top w:val="none" w:sz="0" w:space="0" w:color="auto"/>
            <w:left w:val="none" w:sz="0" w:space="0" w:color="auto"/>
            <w:bottom w:val="none" w:sz="0" w:space="0" w:color="auto"/>
            <w:right w:val="none" w:sz="0" w:space="0" w:color="auto"/>
          </w:divBdr>
        </w:div>
        <w:div w:id="1000473090">
          <w:marLeft w:val="1166"/>
          <w:marRight w:val="0"/>
          <w:marTop w:val="86"/>
          <w:marBottom w:val="0"/>
          <w:divBdr>
            <w:top w:val="none" w:sz="0" w:space="0" w:color="auto"/>
            <w:left w:val="none" w:sz="0" w:space="0" w:color="auto"/>
            <w:bottom w:val="none" w:sz="0" w:space="0" w:color="auto"/>
            <w:right w:val="none" w:sz="0" w:space="0" w:color="auto"/>
          </w:divBdr>
        </w:div>
        <w:div w:id="2109813381">
          <w:marLeft w:val="547"/>
          <w:marRight w:val="0"/>
          <w:marTop w:val="86"/>
          <w:marBottom w:val="0"/>
          <w:divBdr>
            <w:top w:val="none" w:sz="0" w:space="0" w:color="auto"/>
            <w:left w:val="none" w:sz="0" w:space="0" w:color="auto"/>
            <w:bottom w:val="none" w:sz="0" w:space="0" w:color="auto"/>
            <w:right w:val="none" w:sz="0" w:space="0" w:color="auto"/>
          </w:divBdr>
        </w:div>
      </w:divsChild>
    </w:div>
    <w:div w:id="1448815747">
      <w:bodyDiv w:val="1"/>
      <w:marLeft w:val="0"/>
      <w:marRight w:val="0"/>
      <w:marTop w:val="0"/>
      <w:marBottom w:val="0"/>
      <w:divBdr>
        <w:top w:val="none" w:sz="0" w:space="0" w:color="auto"/>
        <w:left w:val="none" w:sz="0" w:space="0" w:color="auto"/>
        <w:bottom w:val="none" w:sz="0" w:space="0" w:color="auto"/>
        <w:right w:val="none" w:sz="0" w:space="0" w:color="auto"/>
      </w:divBdr>
    </w:div>
    <w:div w:id="1453748587">
      <w:bodyDiv w:val="1"/>
      <w:marLeft w:val="0"/>
      <w:marRight w:val="0"/>
      <w:marTop w:val="0"/>
      <w:marBottom w:val="0"/>
      <w:divBdr>
        <w:top w:val="none" w:sz="0" w:space="0" w:color="auto"/>
        <w:left w:val="none" w:sz="0" w:space="0" w:color="auto"/>
        <w:bottom w:val="none" w:sz="0" w:space="0" w:color="auto"/>
        <w:right w:val="none" w:sz="0" w:space="0" w:color="auto"/>
      </w:divBdr>
    </w:div>
    <w:div w:id="1454245563">
      <w:bodyDiv w:val="1"/>
      <w:marLeft w:val="0"/>
      <w:marRight w:val="0"/>
      <w:marTop w:val="0"/>
      <w:marBottom w:val="0"/>
      <w:divBdr>
        <w:top w:val="none" w:sz="0" w:space="0" w:color="auto"/>
        <w:left w:val="none" w:sz="0" w:space="0" w:color="auto"/>
        <w:bottom w:val="none" w:sz="0" w:space="0" w:color="auto"/>
        <w:right w:val="none" w:sz="0" w:space="0" w:color="auto"/>
      </w:divBdr>
    </w:div>
    <w:div w:id="1458765859">
      <w:bodyDiv w:val="1"/>
      <w:marLeft w:val="0"/>
      <w:marRight w:val="0"/>
      <w:marTop w:val="0"/>
      <w:marBottom w:val="0"/>
      <w:divBdr>
        <w:top w:val="none" w:sz="0" w:space="0" w:color="auto"/>
        <w:left w:val="none" w:sz="0" w:space="0" w:color="auto"/>
        <w:bottom w:val="none" w:sz="0" w:space="0" w:color="auto"/>
        <w:right w:val="none" w:sz="0" w:space="0" w:color="auto"/>
      </w:divBdr>
    </w:div>
    <w:div w:id="1472364333">
      <w:bodyDiv w:val="1"/>
      <w:marLeft w:val="0"/>
      <w:marRight w:val="0"/>
      <w:marTop w:val="0"/>
      <w:marBottom w:val="0"/>
      <w:divBdr>
        <w:top w:val="none" w:sz="0" w:space="0" w:color="auto"/>
        <w:left w:val="none" w:sz="0" w:space="0" w:color="auto"/>
        <w:bottom w:val="none" w:sz="0" w:space="0" w:color="auto"/>
        <w:right w:val="none" w:sz="0" w:space="0" w:color="auto"/>
      </w:divBdr>
    </w:div>
    <w:div w:id="1483041680">
      <w:bodyDiv w:val="1"/>
      <w:marLeft w:val="0"/>
      <w:marRight w:val="0"/>
      <w:marTop w:val="0"/>
      <w:marBottom w:val="0"/>
      <w:divBdr>
        <w:top w:val="none" w:sz="0" w:space="0" w:color="auto"/>
        <w:left w:val="none" w:sz="0" w:space="0" w:color="auto"/>
        <w:bottom w:val="none" w:sz="0" w:space="0" w:color="auto"/>
        <w:right w:val="none" w:sz="0" w:space="0" w:color="auto"/>
      </w:divBdr>
    </w:div>
    <w:div w:id="1487747860">
      <w:bodyDiv w:val="1"/>
      <w:marLeft w:val="0"/>
      <w:marRight w:val="0"/>
      <w:marTop w:val="0"/>
      <w:marBottom w:val="0"/>
      <w:divBdr>
        <w:top w:val="none" w:sz="0" w:space="0" w:color="auto"/>
        <w:left w:val="none" w:sz="0" w:space="0" w:color="auto"/>
        <w:bottom w:val="none" w:sz="0" w:space="0" w:color="auto"/>
        <w:right w:val="none" w:sz="0" w:space="0" w:color="auto"/>
      </w:divBdr>
    </w:div>
    <w:div w:id="1495531585">
      <w:bodyDiv w:val="1"/>
      <w:marLeft w:val="0"/>
      <w:marRight w:val="0"/>
      <w:marTop w:val="0"/>
      <w:marBottom w:val="0"/>
      <w:divBdr>
        <w:top w:val="none" w:sz="0" w:space="0" w:color="auto"/>
        <w:left w:val="none" w:sz="0" w:space="0" w:color="auto"/>
        <w:bottom w:val="none" w:sz="0" w:space="0" w:color="auto"/>
        <w:right w:val="none" w:sz="0" w:space="0" w:color="auto"/>
      </w:divBdr>
    </w:div>
    <w:div w:id="1523279818">
      <w:bodyDiv w:val="1"/>
      <w:marLeft w:val="0"/>
      <w:marRight w:val="0"/>
      <w:marTop w:val="0"/>
      <w:marBottom w:val="0"/>
      <w:divBdr>
        <w:top w:val="none" w:sz="0" w:space="0" w:color="auto"/>
        <w:left w:val="none" w:sz="0" w:space="0" w:color="auto"/>
        <w:bottom w:val="none" w:sz="0" w:space="0" w:color="auto"/>
        <w:right w:val="none" w:sz="0" w:space="0" w:color="auto"/>
      </w:divBdr>
    </w:div>
    <w:div w:id="1528905306">
      <w:bodyDiv w:val="1"/>
      <w:marLeft w:val="0"/>
      <w:marRight w:val="0"/>
      <w:marTop w:val="0"/>
      <w:marBottom w:val="0"/>
      <w:divBdr>
        <w:top w:val="none" w:sz="0" w:space="0" w:color="auto"/>
        <w:left w:val="none" w:sz="0" w:space="0" w:color="auto"/>
        <w:bottom w:val="none" w:sz="0" w:space="0" w:color="auto"/>
        <w:right w:val="none" w:sz="0" w:space="0" w:color="auto"/>
      </w:divBdr>
    </w:div>
    <w:div w:id="1540826059">
      <w:bodyDiv w:val="1"/>
      <w:marLeft w:val="0"/>
      <w:marRight w:val="0"/>
      <w:marTop w:val="0"/>
      <w:marBottom w:val="0"/>
      <w:divBdr>
        <w:top w:val="none" w:sz="0" w:space="0" w:color="auto"/>
        <w:left w:val="none" w:sz="0" w:space="0" w:color="auto"/>
        <w:bottom w:val="none" w:sz="0" w:space="0" w:color="auto"/>
        <w:right w:val="none" w:sz="0" w:space="0" w:color="auto"/>
      </w:divBdr>
    </w:div>
    <w:div w:id="1546913255">
      <w:bodyDiv w:val="1"/>
      <w:marLeft w:val="0"/>
      <w:marRight w:val="0"/>
      <w:marTop w:val="0"/>
      <w:marBottom w:val="0"/>
      <w:divBdr>
        <w:top w:val="none" w:sz="0" w:space="0" w:color="auto"/>
        <w:left w:val="none" w:sz="0" w:space="0" w:color="auto"/>
        <w:bottom w:val="none" w:sz="0" w:space="0" w:color="auto"/>
        <w:right w:val="none" w:sz="0" w:space="0" w:color="auto"/>
      </w:divBdr>
    </w:div>
    <w:div w:id="1547109903">
      <w:bodyDiv w:val="1"/>
      <w:marLeft w:val="0"/>
      <w:marRight w:val="0"/>
      <w:marTop w:val="0"/>
      <w:marBottom w:val="0"/>
      <w:divBdr>
        <w:top w:val="none" w:sz="0" w:space="0" w:color="auto"/>
        <w:left w:val="none" w:sz="0" w:space="0" w:color="auto"/>
        <w:bottom w:val="none" w:sz="0" w:space="0" w:color="auto"/>
        <w:right w:val="none" w:sz="0" w:space="0" w:color="auto"/>
      </w:divBdr>
    </w:div>
    <w:div w:id="1563296511">
      <w:bodyDiv w:val="1"/>
      <w:marLeft w:val="0"/>
      <w:marRight w:val="0"/>
      <w:marTop w:val="0"/>
      <w:marBottom w:val="0"/>
      <w:divBdr>
        <w:top w:val="none" w:sz="0" w:space="0" w:color="auto"/>
        <w:left w:val="none" w:sz="0" w:space="0" w:color="auto"/>
        <w:bottom w:val="none" w:sz="0" w:space="0" w:color="auto"/>
        <w:right w:val="none" w:sz="0" w:space="0" w:color="auto"/>
      </w:divBdr>
    </w:div>
    <w:div w:id="1566719852">
      <w:bodyDiv w:val="1"/>
      <w:marLeft w:val="0"/>
      <w:marRight w:val="0"/>
      <w:marTop w:val="0"/>
      <w:marBottom w:val="0"/>
      <w:divBdr>
        <w:top w:val="none" w:sz="0" w:space="0" w:color="auto"/>
        <w:left w:val="none" w:sz="0" w:space="0" w:color="auto"/>
        <w:bottom w:val="none" w:sz="0" w:space="0" w:color="auto"/>
        <w:right w:val="none" w:sz="0" w:space="0" w:color="auto"/>
      </w:divBdr>
    </w:div>
    <w:div w:id="1575627323">
      <w:bodyDiv w:val="1"/>
      <w:marLeft w:val="0"/>
      <w:marRight w:val="0"/>
      <w:marTop w:val="0"/>
      <w:marBottom w:val="0"/>
      <w:divBdr>
        <w:top w:val="none" w:sz="0" w:space="0" w:color="auto"/>
        <w:left w:val="none" w:sz="0" w:space="0" w:color="auto"/>
        <w:bottom w:val="none" w:sz="0" w:space="0" w:color="auto"/>
        <w:right w:val="none" w:sz="0" w:space="0" w:color="auto"/>
      </w:divBdr>
    </w:div>
    <w:div w:id="1575816692">
      <w:bodyDiv w:val="1"/>
      <w:marLeft w:val="0"/>
      <w:marRight w:val="0"/>
      <w:marTop w:val="0"/>
      <w:marBottom w:val="0"/>
      <w:divBdr>
        <w:top w:val="none" w:sz="0" w:space="0" w:color="auto"/>
        <w:left w:val="none" w:sz="0" w:space="0" w:color="auto"/>
        <w:bottom w:val="none" w:sz="0" w:space="0" w:color="auto"/>
        <w:right w:val="none" w:sz="0" w:space="0" w:color="auto"/>
      </w:divBdr>
    </w:div>
    <w:div w:id="1579364756">
      <w:bodyDiv w:val="1"/>
      <w:marLeft w:val="0"/>
      <w:marRight w:val="0"/>
      <w:marTop w:val="0"/>
      <w:marBottom w:val="0"/>
      <w:divBdr>
        <w:top w:val="none" w:sz="0" w:space="0" w:color="auto"/>
        <w:left w:val="none" w:sz="0" w:space="0" w:color="auto"/>
        <w:bottom w:val="none" w:sz="0" w:space="0" w:color="auto"/>
        <w:right w:val="none" w:sz="0" w:space="0" w:color="auto"/>
      </w:divBdr>
    </w:div>
    <w:div w:id="1579750334">
      <w:bodyDiv w:val="1"/>
      <w:marLeft w:val="0"/>
      <w:marRight w:val="0"/>
      <w:marTop w:val="0"/>
      <w:marBottom w:val="0"/>
      <w:divBdr>
        <w:top w:val="none" w:sz="0" w:space="0" w:color="auto"/>
        <w:left w:val="none" w:sz="0" w:space="0" w:color="auto"/>
        <w:bottom w:val="none" w:sz="0" w:space="0" w:color="auto"/>
        <w:right w:val="none" w:sz="0" w:space="0" w:color="auto"/>
      </w:divBdr>
    </w:div>
    <w:div w:id="1590849092">
      <w:bodyDiv w:val="1"/>
      <w:marLeft w:val="0"/>
      <w:marRight w:val="0"/>
      <w:marTop w:val="0"/>
      <w:marBottom w:val="0"/>
      <w:divBdr>
        <w:top w:val="none" w:sz="0" w:space="0" w:color="auto"/>
        <w:left w:val="none" w:sz="0" w:space="0" w:color="auto"/>
        <w:bottom w:val="none" w:sz="0" w:space="0" w:color="auto"/>
        <w:right w:val="none" w:sz="0" w:space="0" w:color="auto"/>
      </w:divBdr>
    </w:div>
    <w:div w:id="1591770757">
      <w:bodyDiv w:val="1"/>
      <w:marLeft w:val="0"/>
      <w:marRight w:val="0"/>
      <w:marTop w:val="0"/>
      <w:marBottom w:val="0"/>
      <w:divBdr>
        <w:top w:val="none" w:sz="0" w:space="0" w:color="auto"/>
        <w:left w:val="none" w:sz="0" w:space="0" w:color="auto"/>
        <w:bottom w:val="none" w:sz="0" w:space="0" w:color="auto"/>
        <w:right w:val="none" w:sz="0" w:space="0" w:color="auto"/>
      </w:divBdr>
    </w:div>
    <w:div w:id="1602570249">
      <w:bodyDiv w:val="1"/>
      <w:marLeft w:val="0"/>
      <w:marRight w:val="0"/>
      <w:marTop w:val="0"/>
      <w:marBottom w:val="0"/>
      <w:divBdr>
        <w:top w:val="none" w:sz="0" w:space="0" w:color="auto"/>
        <w:left w:val="none" w:sz="0" w:space="0" w:color="auto"/>
        <w:bottom w:val="none" w:sz="0" w:space="0" w:color="auto"/>
        <w:right w:val="none" w:sz="0" w:space="0" w:color="auto"/>
      </w:divBdr>
    </w:div>
    <w:div w:id="1610746262">
      <w:bodyDiv w:val="1"/>
      <w:marLeft w:val="0"/>
      <w:marRight w:val="0"/>
      <w:marTop w:val="0"/>
      <w:marBottom w:val="0"/>
      <w:divBdr>
        <w:top w:val="none" w:sz="0" w:space="0" w:color="auto"/>
        <w:left w:val="none" w:sz="0" w:space="0" w:color="auto"/>
        <w:bottom w:val="none" w:sz="0" w:space="0" w:color="auto"/>
        <w:right w:val="none" w:sz="0" w:space="0" w:color="auto"/>
      </w:divBdr>
    </w:div>
    <w:div w:id="1614827017">
      <w:bodyDiv w:val="1"/>
      <w:marLeft w:val="0"/>
      <w:marRight w:val="0"/>
      <w:marTop w:val="0"/>
      <w:marBottom w:val="0"/>
      <w:divBdr>
        <w:top w:val="none" w:sz="0" w:space="0" w:color="auto"/>
        <w:left w:val="none" w:sz="0" w:space="0" w:color="auto"/>
        <w:bottom w:val="none" w:sz="0" w:space="0" w:color="auto"/>
        <w:right w:val="none" w:sz="0" w:space="0" w:color="auto"/>
      </w:divBdr>
    </w:div>
    <w:div w:id="1642029630">
      <w:bodyDiv w:val="1"/>
      <w:marLeft w:val="0"/>
      <w:marRight w:val="0"/>
      <w:marTop w:val="0"/>
      <w:marBottom w:val="0"/>
      <w:divBdr>
        <w:top w:val="none" w:sz="0" w:space="0" w:color="auto"/>
        <w:left w:val="none" w:sz="0" w:space="0" w:color="auto"/>
        <w:bottom w:val="none" w:sz="0" w:space="0" w:color="auto"/>
        <w:right w:val="none" w:sz="0" w:space="0" w:color="auto"/>
      </w:divBdr>
    </w:div>
    <w:div w:id="1648125399">
      <w:bodyDiv w:val="1"/>
      <w:marLeft w:val="0"/>
      <w:marRight w:val="0"/>
      <w:marTop w:val="0"/>
      <w:marBottom w:val="0"/>
      <w:divBdr>
        <w:top w:val="none" w:sz="0" w:space="0" w:color="auto"/>
        <w:left w:val="none" w:sz="0" w:space="0" w:color="auto"/>
        <w:bottom w:val="none" w:sz="0" w:space="0" w:color="auto"/>
        <w:right w:val="none" w:sz="0" w:space="0" w:color="auto"/>
      </w:divBdr>
    </w:div>
    <w:div w:id="1652753849">
      <w:bodyDiv w:val="1"/>
      <w:marLeft w:val="0"/>
      <w:marRight w:val="0"/>
      <w:marTop w:val="0"/>
      <w:marBottom w:val="0"/>
      <w:divBdr>
        <w:top w:val="none" w:sz="0" w:space="0" w:color="auto"/>
        <w:left w:val="none" w:sz="0" w:space="0" w:color="auto"/>
        <w:bottom w:val="none" w:sz="0" w:space="0" w:color="auto"/>
        <w:right w:val="none" w:sz="0" w:space="0" w:color="auto"/>
      </w:divBdr>
    </w:div>
    <w:div w:id="1657300805">
      <w:bodyDiv w:val="1"/>
      <w:marLeft w:val="0"/>
      <w:marRight w:val="0"/>
      <w:marTop w:val="0"/>
      <w:marBottom w:val="0"/>
      <w:divBdr>
        <w:top w:val="none" w:sz="0" w:space="0" w:color="auto"/>
        <w:left w:val="none" w:sz="0" w:space="0" w:color="auto"/>
        <w:bottom w:val="none" w:sz="0" w:space="0" w:color="auto"/>
        <w:right w:val="none" w:sz="0" w:space="0" w:color="auto"/>
      </w:divBdr>
    </w:div>
    <w:div w:id="1664433774">
      <w:bodyDiv w:val="1"/>
      <w:marLeft w:val="0"/>
      <w:marRight w:val="0"/>
      <w:marTop w:val="0"/>
      <w:marBottom w:val="0"/>
      <w:divBdr>
        <w:top w:val="none" w:sz="0" w:space="0" w:color="auto"/>
        <w:left w:val="none" w:sz="0" w:space="0" w:color="auto"/>
        <w:bottom w:val="none" w:sz="0" w:space="0" w:color="auto"/>
        <w:right w:val="none" w:sz="0" w:space="0" w:color="auto"/>
      </w:divBdr>
    </w:div>
    <w:div w:id="1667586546">
      <w:bodyDiv w:val="1"/>
      <w:marLeft w:val="0"/>
      <w:marRight w:val="0"/>
      <w:marTop w:val="0"/>
      <w:marBottom w:val="0"/>
      <w:divBdr>
        <w:top w:val="none" w:sz="0" w:space="0" w:color="auto"/>
        <w:left w:val="none" w:sz="0" w:space="0" w:color="auto"/>
        <w:bottom w:val="none" w:sz="0" w:space="0" w:color="auto"/>
        <w:right w:val="none" w:sz="0" w:space="0" w:color="auto"/>
      </w:divBdr>
    </w:div>
    <w:div w:id="1669211571">
      <w:bodyDiv w:val="1"/>
      <w:marLeft w:val="0"/>
      <w:marRight w:val="0"/>
      <w:marTop w:val="0"/>
      <w:marBottom w:val="0"/>
      <w:divBdr>
        <w:top w:val="none" w:sz="0" w:space="0" w:color="auto"/>
        <w:left w:val="none" w:sz="0" w:space="0" w:color="auto"/>
        <w:bottom w:val="none" w:sz="0" w:space="0" w:color="auto"/>
        <w:right w:val="none" w:sz="0" w:space="0" w:color="auto"/>
      </w:divBdr>
    </w:div>
    <w:div w:id="1671059157">
      <w:bodyDiv w:val="1"/>
      <w:marLeft w:val="0"/>
      <w:marRight w:val="0"/>
      <w:marTop w:val="0"/>
      <w:marBottom w:val="0"/>
      <w:divBdr>
        <w:top w:val="none" w:sz="0" w:space="0" w:color="auto"/>
        <w:left w:val="none" w:sz="0" w:space="0" w:color="auto"/>
        <w:bottom w:val="none" w:sz="0" w:space="0" w:color="auto"/>
        <w:right w:val="none" w:sz="0" w:space="0" w:color="auto"/>
      </w:divBdr>
    </w:div>
    <w:div w:id="1680890852">
      <w:bodyDiv w:val="1"/>
      <w:marLeft w:val="0"/>
      <w:marRight w:val="0"/>
      <w:marTop w:val="0"/>
      <w:marBottom w:val="0"/>
      <w:divBdr>
        <w:top w:val="none" w:sz="0" w:space="0" w:color="auto"/>
        <w:left w:val="none" w:sz="0" w:space="0" w:color="auto"/>
        <w:bottom w:val="none" w:sz="0" w:space="0" w:color="auto"/>
        <w:right w:val="none" w:sz="0" w:space="0" w:color="auto"/>
      </w:divBdr>
    </w:div>
    <w:div w:id="1696342654">
      <w:bodyDiv w:val="1"/>
      <w:marLeft w:val="0"/>
      <w:marRight w:val="0"/>
      <w:marTop w:val="0"/>
      <w:marBottom w:val="0"/>
      <w:divBdr>
        <w:top w:val="none" w:sz="0" w:space="0" w:color="auto"/>
        <w:left w:val="none" w:sz="0" w:space="0" w:color="auto"/>
        <w:bottom w:val="none" w:sz="0" w:space="0" w:color="auto"/>
        <w:right w:val="none" w:sz="0" w:space="0" w:color="auto"/>
      </w:divBdr>
      <w:divsChild>
        <w:div w:id="137193964">
          <w:marLeft w:val="1886"/>
          <w:marRight w:val="0"/>
          <w:marTop w:val="77"/>
          <w:marBottom w:val="0"/>
          <w:divBdr>
            <w:top w:val="none" w:sz="0" w:space="0" w:color="auto"/>
            <w:left w:val="none" w:sz="0" w:space="0" w:color="auto"/>
            <w:bottom w:val="none" w:sz="0" w:space="0" w:color="auto"/>
            <w:right w:val="none" w:sz="0" w:space="0" w:color="auto"/>
          </w:divBdr>
        </w:div>
        <w:div w:id="322122568">
          <w:marLeft w:val="547"/>
          <w:marRight w:val="0"/>
          <w:marTop w:val="154"/>
          <w:marBottom w:val="0"/>
          <w:divBdr>
            <w:top w:val="none" w:sz="0" w:space="0" w:color="auto"/>
            <w:left w:val="none" w:sz="0" w:space="0" w:color="auto"/>
            <w:bottom w:val="none" w:sz="0" w:space="0" w:color="auto"/>
            <w:right w:val="none" w:sz="0" w:space="0" w:color="auto"/>
          </w:divBdr>
        </w:div>
        <w:div w:id="455216549">
          <w:marLeft w:val="1886"/>
          <w:marRight w:val="0"/>
          <w:marTop w:val="77"/>
          <w:marBottom w:val="0"/>
          <w:divBdr>
            <w:top w:val="none" w:sz="0" w:space="0" w:color="auto"/>
            <w:left w:val="none" w:sz="0" w:space="0" w:color="auto"/>
            <w:bottom w:val="none" w:sz="0" w:space="0" w:color="auto"/>
            <w:right w:val="none" w:sz="0" w:space="0" w:color="auto"/>
          </w:divBdr>
        </w:div>
        <w:div w:id="542908949">
          <w:marLeft w:val="1886"/>
          <w:marRight w:val="0"/>
          <w:marTop w:val="77"/>
          <w:marBottom w:val="0"/>
          <w:divBdr>
            <w:top w:val="none" w:sz="0" w:space="0" w:color="auto"/>
            <w:left w:val="none" w:sz="0" w:space="0" w:color="auto"/>
            <w:bottom w:val="none" w:sz="0" w:space="0" w:color="auto"/>
            <w:right w:val="none" w:sz="0" w:space="0" w:color="auto"/>
          </w:divBdr>
        </w:div>
        <w:div w:id="698434995">
          <w:marLeft w:val="1166"/>
          <w:marRight w:val="0"/>
          <w:marTop w:val="96"/>
          <w:marBottom w:val="0"/>
          <w:divBdr>
            <w:top w:val="none" w:sz="0" w:space="0" w:color="auto"/>
            <w:left w:val="none" w:sz="0" w:space="0" w:color="auto"/>
            <w:bottom w:val="none" w:sz="0" w:space="0" w:color="auto"/>
            <w:right w:val="none" w:sz="0" w:space="0" w:color="auto"/>
          </w:divBdr>
        </w:div>
        <w:div w:id="810947155">
          <w:marLeft w:val="1886"/>
          <w:marRight w:val="0"/>
          <w:marTop w:val="77"/>
          <w:marBottom w:val="0"/>
          <w:divBdr>
            <w:top w:val="none" w:sz="0" w:space="0" w:color="auto"/>
            <w:left w:val="none" w:sz="0" w:space="0" w:color="auto"/>
            <w:bottom w:val="none" w:sz="0" w:space="0" w:color="auto"/>
            <w:right w:val="none" w:sz="0" w:space="0" w:color="auto"/>
          </w:divBdr>
        </w:div>
        <w:div w:id="941255907">
          <w:marLeft w:val="1166"/>
          <w:marRight w:val="0"/>
          <w:marTop w:val="96"/>
          <w:marBottom w:val="0"/>
          <w:divBdr>
            <w:top w:val="none" w:sz="0" w:space="0" w:color="auto"/>
            <w:left w:val="none" w:sz="0" w:space="0" w:color="auto"/>
            <w:bottom w:val="none" w:sz="0" w:space="0" w:color="auto"/>
            <w:right w:val="none" w:sz="0" w:space="0" w:color="auto"/>
          </w:divBdr>
        </w:div>
        <w:div w:id="979653231">
          <w:marLeft w:val="1166"/>
          <w:marRight w:val="0"/>
          <w:marTop w:val="96"/>
          <w:marBottom w:val="0"/>
          <w:divBdr>
            <w:top w:val="none" w:sz="0" w:space="0" w:color="auto"/>
            <w:left w:val="none" w:sz="0" w:space="0" w:color="auto"/>
            <w:bottom w:val="none" w:sz="0" w:space="0" w:color="auto"/>
            <w:right w:val="none" w:sz="0" w:space="0" w:color="auto"/>
          </w:divBdr>
        </w:div>
        <w:div w:id="1463228872">
          <w:marLeft w:val="1166"/>
          <w:marRight w:val="0"/>
          <w:marTop w:val="96"/>
          <w:marBottom w:val="0"/>
          <w:divBdr>
            <w:top w:val="none" w:sz="0" w:space="0" w:color="auto"/>
            <w:left w:val="none" w:sz="0" w:space="0" w:color="auto"/>
            <w:bottom w:val="none" w:sz="0" w:space="0" w:color="auto"/>
            <w:right w:val="none" w:sz="0" w:space="0" w:color="auto"/>
          </w:divBdr>
        </w:div>
        <w:div w:id="1832866524">
          <w:marLeft w:val="1886"/>
          <w:marRight w:val="0"/>
          <w:marTop w:val="77"/>
          <w:marBottom w:val="0"/>
          <w:divBdr>
            <w:top w:val="none" w:sz="0" w:space="0" w:color="auto"/>
            <w:left w:val="none" w:sz="0" w:space="0" w:color="auto"/>
            <w:bottom w:val="none" w:sz="0" w:space="0" w:color="auto"/>
            <w:right w:val="none" w:sz="0" w:space="0" w:color="auto"/>
          </w:divBdr>
        </w:div>
        <w:div w:id="1964342932">
          <w:marLeft w:val="1166"/>
          <w:marRight w:val="0"/>
          <w:marTop w:val="96"/>
          <w:marBottom w:val="0"/>
          <w:divBdr>
            <w:top w:val="none" w:sz="0" w:space="0" w:color="auto"/>
            <w:left w:val="none" w:sz="0" w:space="0" w:color="auto"/>
            <w:bottom w:val="none" w:sz="0" w:space="0" w:color="auto"/>
            <w:right w:val="none" w:sz="0" w:space="0" w:color="auto"/>
          </w:divBdr>
        </w:div>
      </w:divsChild>
    </w:div>
    <w:div w:id="1697464143">
      <w:bodyDiv w:val="1"/>
      <w:marLeft w:val="0"/>
      <w:marRight w:val="0"/>
      <w:marTop w:val="0"/>
      <w:marBottom w:val="0"/>
      <w:divBdr>
        <w:top w:val="none" w:sz="0" w:space="0" w:color="auto"/>
        <w:left w:val="none" w:sz="0" w:space="0" w:color="auto"/>
        <w:bottom w:val="none" w:sz="0" w:space="0" w:color="auto"/>
        <w:right w:val="none" w:sz="0" w:space="0" w:color="auto"/>
      </w:divBdr>
    </w:div>
    <w:div w:id="1705404582">
      <w:bodyDiv w:val="1"/>
      <w:marLeft w:val="0"/>
      <w:marRight w:val="0"/>
      <w:marTop w:val="0"/>
      <w:marBottom w:val="0"/>
      <w:divBdr>
        <w:top w:val="none" w:sz="0" w:space="0" w:color="auto"/>
        <w:left w:val="none" w:sz="0" w:space="0" w:color="auto"/>
        <w:bottom w:val="none" w:sz="0" w:space="0" w:color="auto"/>
        <w:right w:val="none" w:sz="0" w:space="0" w:color="auto"/>
      </w:divBdr>
    </w:div>
    <w:div w:id="1705518782">
      <w:bodyDiv w:val="1"/>
      <w:marLeft w:val="0"/>
      <w:marRight w:val="0"/>
      <w:marTop w:val="0"/>
      <w:marBottom w:val="0"/>
      <w:divBdr>
        <w:top w:val="none" w:sz="0" w:space="0" w:color="auto"/>
        <w:left w:val="none" w:sz="0" w:space="0" w:color="auto"/>
        <w:bottom w:val="none" w:sz="0" w:space="0" w:color="auto"/>
        <w:right w:val="none" w:sz="0" w:space="0" w:color="auto"/>
      </w:divBdr>
    </w:div>
    <w:div w:id="1707606310">
      <w:bodyDiv w:val="1"/>
      <w:marLeft w:val="0"/>
      <w:marRight w:val="0"/>
      <w:marTop w:val="0"/>
      <w:marBottom w:val="0"/>
      <w:divBdr>
        <w:top w:val="none" w:sz="0" w:space="0" w:color="auto"/>
        <w:left w:val="none" w:sz="0" w:space="0" w:color="auto"/>
        <w:bottom w:val="none" w:sz="0" w:space="0" w:color="auto"/>
        <w:right w:val="none" w:sz="0" w:space="0" w:color="auto"/>
      </w:divBdr>
    </w:div>
    <w:div w:id="1709067961">
      <w:bodyDiv w:val="1"/>
      <w:marLeft w:val="0"/>
      <w:marRight w:val="0"/>
      <w:marTop w:val="0"/>
      <w:marBottom w:val="0"/>
      <w:divBdr>
        <w:top w:val="none" w:sz="0" w:space="0" w:color="auto"/>
        <w:left w:val="none" w:sz="0" w:space="0" w:color="auto"/>
        <w:bottom w:val="none" w:sz="0" w:space="0" w:color="auto"/>
        <w:right w:val="none" w:sz="0" w:space="0" w:color="auto"/>
      </w:divBdr>
      <w:divsChild>
        <w:div w:id="312954616">
          <w:marLeft w:val="1166"/>
          <w:marRight w:val="0"/>
          <w:marTop w:val="96"/>
          <w:marBottom w:val="0"/>
          <w:divBdr>
            <w:top w:val="none" w:sz="0" w:space="0" w:color="auto"/>
            <w:left w:val="none" w:sz="0" w:space="0" w:color="auto"/>
            <w:bottom w:val="none" w:sz="0" w:space="0" w:color="auto"/>
            <w:right w:val="none" w:sz="0" w:space="0" w:color="auto"/>
          </w:divBdr>
        </w:div>
        <w:div w:id="396561678">
          <w:marLeft w:val="1800"/>
          <w:marRight w:val="0"/>
          <w:marTop w:val="77"/>
          <w:marBottom w:val="0"/>
          <w:divBdr>
            <w:top w:val="none" w:sz="0" w:space="0" w:color="auto"/>
            <w:left w:val="none" w:sz="0" w:space="0" w:color="auto"/>
            <w:bottom w:val="none" w:sz="0" w:space="0" w:color="auto"/>
            <w:right w:val="none" w:sz="0" w:space="0" w:color="auto"/>
          </w:divBdr>
        </w:div>
        <w:div w:id="397020657">
          <w:marLeft w:val="1166"/>
          <w:marRight w:val="0"/>
          <w:marTop w:val="96"/>
          <w:marBottom w:val="0"/>
          <w:divBdr>
            <w:top w:val="none" w:sz="0" w:space="0" w:color="auto"/>
            <w:left w:val="none" w:sz="0" w:space="0" w:color="auto"/>
            <w:bottom w:val="none" w:sz="0" w:space="0" w:color="auto"/>
            <w:right w:val="none" w:sz="0" w:space="0" w:color="auto"/>
          </w:divBdr>
        </w:div>
        <w:div w:id="462962216">
          <w:marLeft w:val="1166"/>
          <w:marRight w:val="0"/>
          <w:marTop w:val="96"/>
          <w:marBottom w:val="0"/>
          <w:divBdr>
            <w:top w:val="none" w:sz="0" w:space="0" w:color="auto"/>
            <w:left w:val="none" w:sz="0" w:space="0" w:color="auto"/>
            <w:bottom w:val="none" w:sz="0" w:space="0" w:color="auto"/>
            <w:right w:val="none" w:sz="0" w:space="0" w:color="auto"/>
          </w:divBdr>
        </w:div>
        <w:div w:id="963727588">
          <w:marLeft w:val="1800"/>
          <w:marRight w:val="0"/>
          <w:marTop w:val="77"/>
          <w:marBottom w:val="0"/>
          <w:divBdr>
            <w:top w:val="none" w:sz="0" w:space="0" w:color="auto"/>
            <w:left w:val="none" w:sz="0" w:space="0" w:color="auto"/>
            <w:bottom w:val="none" w:sz="0" w:space="0" w:color="auto"/>
            <w:right w:val="none" w:sz="0" w:space="0" w:color="auto"/>
          </w:divBdr>
        </w:div>
        <w:div w:id="1358896174">
          <w:marLeft w:val="1800"/>
          <w:marRight w:val="0"/>
          <w:marTop w:val="77"/>
          <w:marBottom w:val="0"/>
          <w:divBdr>
            <w:top w:val="none" w:sz="0" w:space="0" w:color="auto"/>
            <w:left w:val="none" w:sz="0" w:space="0" w:color="auto"/>
            <w:bottom w:val="none" w:sz="0" w:space="0" w:color="auto"/>
            <w:right w:val="none" w:sz="0" w:space="0" w:color="auto"/>
          </w:divBdr>
        </w:div>
        <w:div w:id="1417097187">
          <w:marLeft w:val="1800"/>
          <w:marRight w:val="0"/>
          <w:marTop w:val="77"/>
          <w:marBottom w:val="0"/>
          <w:divBdr>
            <w:top w:val="none" w:sz="0" w:space="0" w:color="auto"/>
            <w:left w:val="none" w:sz="0" w:space="0" w:color="auto"/>
            <w:bottom w:val="none" w:sz="0" w:space="0" w:color="auto"/>
            <w:right w:val="none" w:sz="0" w:space="0" w:color="auto"/>
          </w:divBdr>
        </w:div>
        <w:div w:id="1418867499">
          <w:marLeft w:val="547"/>
          <w:marRight w:val="0"/>
          <w:marTop w:val="115"/>
          <w:marBottom w:val="0"/>
          <w:divBdr>
            <w:top w:val="none" w:sz="0" w:space="0" w:color="auto"/>
            <w:left w:val="none" w:sz="0" w:space="0" w:color="auto"/>
            <w:bottom w:val="none" w:sz="0" w:space="0" w:color="auto"/>
            <w:right w:val="none" w:sz="0" w:space="0" w:color="auto"/>
          </w:divBdr>
        </w:div>
        <w:div w:id="1809125963">
          <w:marLeft w:val="1166"/>
          <w:marRight w:val="0"/>
          <w:marTop w:val="96"/>
          <w:marBottom w:val="0"/>
          <w:divBdr>
            <w:top w:val="none" w:sz="0" w:space="0" w:color="auto"/>
            <w:left w:val="none" w:sz="0" w:space="0" w:color="auto"/>
            <w:bottom w:val="none" w:sz="0" w:space="0" w:color="auto"/>
            <w:right w:val="none" w:sz="0" w:space="0" w:color="auto"/>
          </w:divBdr>
        </w:div>
      </w:divsChild>
    </w:div>
    <w:div w:id="1712071046">
      <w:bodyDiv w:val="1"/>
      <w:marLeft w:val="0"/>
      <w:marRight w:val="0"/>
      <w:marTop w:val="0"/>
      <w:marBottom w:val="0"/>
      <w:divBdr>
        <w:top w:val="none" w:sz="0" w:space="0" w:color="auto"/>
        <w:left w:val="none" w:sz="0" w:space="0" w:color="auto"/>
        <w:bottom w:val="none" w:sz="0" w:space="0" w:color="auto"/>
        <w:right w:val="none" w:sz="0" w:space="0" w:color="auto"/>
      </w:divBdr>
    </w:div>
    <w:div w:id="1724131231">
      <w:bodyDiv w:val="1"/>
      <w:marLeft w:val="0"/>
      <w:marRight w:val="0"/>
      <w:marTop w:val="0"/>
      <w:marBottom w:val="0"/>
      <w:divBdr>
        <w:top w:val="none" w:sz="0" w:space="0" w:color="auto"/>
        <w:left w:val="none" w:sz="0" w:space="0" w:color="auto"/>
        <w:bottom w:val="none" w:sz="0" w:space="0" w:color="auto"/>
        <w:right w:val="none" w:sz="0" w:space="0" w:color="auto"/>
      </w:divBdr>
    </w:div>
    <w:div w:id="1733431763">
      <w:bodyDiv w:val="1"/>
      <w:marLeft w:val="0"/>
      <w:marRight w:val="0"/>
      <w:marTop w:val="0"/>
      <w:marBottom w:val="0"/>
      <w:divBdr>
        <w:top w:val="none" w:sz="0" w:space="0" w:color="auto"/>
        <w:left w:val="none" w:sz="0" w:space="0" w:color="auto"/>
        <w:bottom w:val="none" w:sz="0" w:space="0" w:color="auto"/>
        <w:right w:val="none" w:sz="0" w:space="0" w:color="auto"/>
      </w:divBdr>
    </w:div>
    <w:div w:id="1736128667">
      <w:bodyDiv w:val="1"/>
      <w:marLeft w:val="0"/>
      <w:marRight w:val="0"/>
      <w:marTop w:val="0"/>
      <w:marBottom w:val="0"/>
      <w:divBdr>
        <w:top w:val="none" w:sz="0" w:space="0" w:color="auto"/>
        <w:left w:val="none" w:sz="0" w:space="0" w:color="auto"/>
        <w:bottom w:val="none" w:sz="0" w:space="0" w:color="auto"/>
        <w:right w:val="none" w:sz="0" w:space="0" w:color="auto"/>
      </w:divBdr>
      <w:divsChild>
        <w:div w:id="1907688727">
          <w:marLeft w:val="1267"/>
          <w:marRight w:val="0"/>
          <w:marTop w:val="180"/>
          <w:marBottom w:val="0"/>
          <w:divBdr>
            <w:top w:val="none" w:sz="0" w:space="0" w:color="auto"/>
            <w:left w:val="none" w:sz="0" w:space="0" w:color="auto"/>
            <w:bottom w:val="none" w:sz="0" w:space="0" w:color="auto"/>
            <w:right w:val="none" w:sz="0" w:space="0" w:color="auto"/>
          </w:divBdr>
        </w:div>
        <w:div w:id="1174495248">
          <w:marLeft w:val="1267"/>
          <w:marRight w:val="0"/>
          <w:marTop w:val="180"/>
          <w:marBottom w:val="0"/>
          <w:divBdr>
            <w:top w:val="none" w:sz="0" w:space="0" w:color="auto"/>
            <w:left w:val="none" w:sz="0" w:space="0" w:color="auto"/>
            <w:bottom w:val="none" w:sz="0" w:space="0" w:color="auto"/>
            <w:right w:val="none" w:sz="0" w:space="0" w:color="auto"/>
          </w:divBdr>
        </w:div>
      </w:divsChild>
    </w:div>
    <w:div w:id="1748722710">
      <w:bodyDiv w:val="1"/>
      <w:marLeft w:val="0"/>
      <w:marRight w:val="0"/>
      <w:marTop w:val="0"/>
      <w:marBottom w:val="0"/>
      <w:divBdr>
        <w:top w:val="none" w:sz="0" w:space="0" w:color="auto"/>
        <w:left w:val="none" w:sz="0" w:space="0" w:color="auto"/>
        <w:bottom w:val="none" w:sz="0" w:space="0" w:color="auto"/>
        <w:right w:val="none" w:sz="0" w:space="0" w:color="auto"/>
      </w:divBdr>
    </w:div>
    <w:div w:id="1751196468">
      <w:bodyDiv w:val="1"/>
      <w:marLeft w:val="0"/>
      <w:marRight w:val="0"/>
      <w:marTop w:val="0"/>
      <w:marBottom w:val="0"/>
      <w:divBdr>
        <w:top w:val="none" w:sz="0" w:space="0" w:color="auto"/>
        <w:left w:val="none" w:sz="0" w:space="0" w:color="auto"/>
        <w:bottom w:val="none" w:sz="0" w:space="0" w:color="auto"/>
        <w:right w:val="none" w:sz="0" w:space="0" w:color="auto"/>
      </w:divBdr>
    </w:div>
    <w:div w:id="1778871535">
      <w:bodyDiv w:val="1"/>
      <w:marLeft w:val="0"/>
      <w:marRight w:val="0"/>
      <w:marTop w:val="0"/>
      <w:marBottom w:val="0"/>
      <w:divBdr>
        <w:top w:val="none" w:sz="0" w:space="0" w:color="auto"/>
        <w:left w:val="none" w:sz="0" w:space="0" w:color="auto"/>
        <w:bottom w:val="none" w:sz="0" w:space="0" w:color="auto"/>
        <w:right w:val="none" w:sz="0" w:space="0" w:color="auto"/>
      </w:divBdr>
    </w:div>
    <w:div w:id="1781220525">
      <w:bodyDiv w:val="1"/>
      <w:marLeft w:val="0"/>
      <w:marRight w:val="0"/>
      <w:marTop w:val="0"/>
      <w:marBottom w:val="0"/>
      <w:divBdr>
        <w:top w:val="none" w:sz="0" w:space="0" w:color="auto"/>
        <w:left w:val="none" w:sz="0" w:space="0" w:color="auto"/>
        <w:bottom w:val="none" w:sz="0" w:space="0" w:color="auto"/>
        <w:right w:val="none" w:sz="0" w:space="0" w:color="auto"/>
      </w:divBdr>
    </w:div>
    <w:div w:id="1785346513">
      <w:bodyDiv w:val="1"/>
      <w:marLeft w:val="0"/>
      <w:marRight w:val="0"/>
      <w:marTop w:val="0"/>
      <w:marBottom w:val="0"/>
      <w:divBdr>
        <w:top w:val="none" w:sz="0" w:space="0" w:color="auto"/>
        <w:left w:val="none" w:sz="0" w:space="0" w:color="auto"/>
        <w:bottom w:val="none" w:sz="0" w:space="0" w:color="auto"/>
        <w:right w:val="none" w:sz="0" w:space="0" w:color="auto"/>
      </w:divBdr>
    </w:div>
    <w:div w:id="1785731973">
      <w:bodyDiv w:val="1"/>
      <w:marLeft w:val="0"/>
      <w:marRight w:val="0"/>
      <w:marTop w:val="0"/>
      <w:marBottom w:val="0"/>
      <w:divBdr>
        <w:top w:val="none" w:sz="0" w:space="0" w:color="auto"/>
        <w:left w:val="none" w:sz="0" w:space="0" w:color="auto"/>
        <w:bottom w:val="none" w:sz="0" w:space="0" w:color="auto"/>
        <w:right w:val="none" w:sz="0" w:space="0" w:color="auto"/>
      </w:divBdr>
    </w:div>
    <w:div w:id="1797945788">
      <w:bodyDiv w:val="1"/>
      <w:marLeft w:val="0"/>
      <w:marRight w:val="0"/>
      <w:marTop w:val="0"/>
      <w:marBottom w:val="0"/>
      <w:divBdr>
        <w:top w:val="none" w:sz="0" w:space="0" w:color="auto"/>
        <w:left w:val="none" w:sz="0" w:space="0" w:color="auto"/>
        <w:bottom w:val="none" w:sz="0" w:space="0" w:color="auto"/>
        <w:right w:val="none" w:sz="0" w:space="0" w:color="auto"/>
      </w:divBdr>
    </w:div>
    <w:div w:id="1814830216">
      <w:bodyDiv w:val="1"/>
      <w:marLeft w:val="0"/>
      <w:marRight w:val="0"/>
      <w:marTop w:val="0"/>
      <w:marBottom w:val="0"/>
      <w:divBdr>
        <w:top w:val="none" w:sz="0" w:space="0" w:color="auto"/>
        <w:left w:val="none" w:sz="0" w:space="0" w:color="auto"/>
        <w:bottom w:val="none" w:sz="0" w:space="0" w:color="auto"/>
        <w:right w:val="none" w:sz="0" w:space="0" w:color="auto"/>
      </w:divBdr>
    </w:div>
    <w:div w:id="1823815162">
      <w:bodyDiv w:val="1"/>
      <w:marLeft w:val="0"/>
      <w:marRight w:val="0"/>
      <w:marTop w:val="0"/>
      <w:marBottom w:val="0"/>
      <w:divBdr>
        <w:top w:val="none" w:sz="0" w:space="0" w:color="auto"/>
        <w:left w:val="none" w:sz="0" w:space="0" w:color="auto"/>
        <w:bottom w:val="none" w:sz="0" w:space="0" w:color="auto"/>
        <w:right w:val="none" w:sz="0" w:space="0" w:color="auto"/>
      </w:divBdr>
    </w:div>
    <w:div w:id="1853183331">
      <w:bodyDiv w:val="1"/>
      <w:marLeft w:val="0"/>
      <w:marRight w:val="0"/>
      <w:marTop w:val="0"/>
      <w:marBottom w:val="0"/>
      <w:divBdr>
        <w:top w:val="none" w:sz="0" w:space="0" w:color="auto"/>
        <w:left w:val="none" w:sz="0" w:space="0" w:color="auto"/>
        <w:bottom w:val="none" w:sz="0" w:space="0" w:color="auto"/>
        <w:right w:val="none" w:sz="0" w:space="0" w:color="auto"/>
      </w:divBdr>
      <w:divsChild>
        <w:div w:id="489828258">
          <w:marLeft w:val="547"/>
          <w:marRight w:val="0"/>
          <w:marTop w:val="120"/>
          <w:marBottom w:val="0"/>
          <w:divBdr>
            <w:top w:val="none" w:sz="0" w:space="0" w:color="auto"/>
            <w:left w:val="none" w:sz="0" w:space="0" w:color="auto"/>
            <w:bottom w:val="none" w:sz="0" w:space="0" w:color="auto"/>
            <w:right w:val="none" w:sz="0" w:space="0" w:color="auto"/>
          </w:divBdr>
        </w:div>
        <w:div w:id="885793170">
          <w:marLeft w:val="1166"/>
          <w:marRight w:val="0"/>
          <w:marTop w:val="106"/>
          <w:marBottom w:val="0"/>
          <w:divBdr>
            <w:top w:val="none" w:sz="0" w:space="0" w:color="auto"/>
            <w:left w:val="none" w:sz="0" w:space="0" w:color="auto"/>
            <w:bottom w:val="none" w:sz="0" w:space="0" w:color="auto"/>
            <w:right w:val="none" w:sz="0" w:space="0" w:color="auto"/>
          </w:divBdr>
        </w:div>
        <w:div w:id="1987468340">
          <w:marLeft w:val="1166"/>
          <w:marRight w:val="0"/>
          <w:marTop w:val="106"/>
          <w:marBottom w:val="0"/>
          <w:divBdr>
            <w:top w:val="none" w:sz="0" w:space="0" w:color="auto"/>
            <w:left w:val="none" w:sz="0" w:space="0" w:color="auto"/>
            <w:bottom w:val="none" w:sz="0" w:space="0" w:color="auto"/>
            <w:right w:val="none" w:sz="0" w:space="0" w:color="auto"/>
          </w:divBdr>
        </w:div>
      </w:divsChild>
    </w:div>
    <w:div w:id="1862543687">
      <w:bodyDiv w:val="1"/>
      <w:marLeft w:val="0"/>
      <w:marRight w:val="0"/>
      <w:marTop w:val="0"/>
      <w:marBottom w:val="0"/>
      <w:divBdr>
        <w:top w:val="none" w:sz="0" w:space="0" w:color="auto"/>
        <w:left w:val="none" w:sz="0" w:space="0" w:color="auto"/>
        <w:bottom w:val="none" w:sz="0" w:space="0" w:color="auto"/>
        <w:right w:val="none" w:sz="0" w:space="0" w:color="auto"/>
      </w:divBdr>
    </w:div>
    <w:div w:id="1873373950">
      <w:bodyDiv w:val="1"/>
      <w:marLeft w:val="0"/>
      <w:marRight w:val="0"/>
      <w:marTop w:val="0"/>
      <w:marBottom w:val="0"/>
      <w:divBdr>
        <w:top w:val="none" w:sz="0" w:space="0" w:color="auto"/>
        <w:left w:val="none" w:sz="0" w:space="0" w:color="auto"/>
        <w:bottom w:val="none" w:sz="0" w:space="0" w:color="auto"/>
        <w:right w:val="none" w:sz="0" w:space="0" w:color="auto"/>
      </w:divBdr>
    </w:div>
    <w:div w:id="1879971994">
      <w:bodyDiv w:val="1"/>
      <w:marLeft w:val="0"/>
      <w:marRight w:val="0"/>
      <w:marTop w:val="0"/>
      <w:marBottom w:val="0"/>
      <w:divBdr>
        <w:top w:val="none" w:sz="0" w:space="0" w:color="auto"/>
        <w:left w:val="none" w:sz="0" w:space="0" w:color="auto"/>
        <w:bottom w:val="none" w:sz="0" w:space="0" w:color="auto"/>
        <w:right w:val="none" w:sz="0" w:space="0" w:color="auto"/>
      </w:divBdr>
    </w:div>
    <w:div w:id="1890996083">
      <w:bodyDiv w:val="1"/>
      <w:marLeft w:val="0"/>
      <w:marRight w:val="0"/>
      <w:marTop w:val="0"/>
      <w:marBottom w:val="0"/>
      <w:divBdr>
        <w:top w:val="none" w:sz="0" w:space="0" w:color="auto"/>
        <w:left w:val="none" w:sz="0" w:space="0" w:color="auto"/>
        <w:bottom w:val="none" w:sz="0" w:space="0" w:color="auto"/>
        <w:right w:val="none" w:sz="0" w:space="0" w:color="auto"/>
      </w:divBdr>
      <w:divsChild>
        <w:div w:id="1198005471">
          <w:marLeft w:val="547"/>
          <w:marRight w:val="0"/>
          <w:marTop w:val="0"/>
          <w:marBottom w:val="0"/>
          <w:divBdr>
            <w:top w:val="none" w:sz="0" w:space="0" w:color="auto"/>
            <w:left w:val="none" w:sz="0" w:space="0" w:color="auto"/>
            <w:bottom w:val="none" w:sz="0" w:space="0" w:color="auto"/>
            <w:right w:val="none" w:sz="0" w:space="0" w:color="auto"/>
          </w:divBdr>
        </w:div>
        <w:div w:id="2142847460">
          <w:marLeft w:val="547"/>
          <w:marRight w:val="0"/>
          <w:marTop w:val="0"/>
          <w:marBottom w:val="0"/>
          <w:divBdr>
            <w:top w:val="none" w:sz="0" w:space="0" w:color="auto"/>
            <w:left w:val="none" w:sz="0" w:space="0" w:color="auto"/>
            <w:bottom w:val="none" w:sz="0" w:space="0" w:color="auto"/>
            <w:right w:val="none" w:sz="0" w:space="0" w:color="auto"/>
          </w:divBdr>
        </w:div>
      </w:divsChild>
    </w:div>
    <w:div w:id="1903103764">
      <w:bodyDiv w:val="1"/>
      <w:marLeft w:val="0"/>
      <w:marRight w:val="0"/>
      <w:marTop w:val="0"/>
      <w:marBottom w:val="0"/>
      <w:divBdr>
        <w:top w:val="none" w:sz="0" w:space="0" w:color="auto"/>
        <w:left w:val="none" w:sz="0" w:space="0" w:color="auto"/>
        <w:bottom w:val="none" w:sz="0" w:space="0" w:color="auto"/>
        <w:right w:val="none" w:sz="0" w:space="0" w:color="auto"/>
      </w:divBdr>
    </w:div>
    <w:div w:id="1909223926">
      <w:bodyDiv w:val="1"/>
      <w:marLeft w:val="0"/>
      <w:marRight w:val="0"/>
      <w:marTop w:val="0"/>
      <w:marBottom w:val="0"/>
      <w:divBdr>
        <w:top w:val="none" w:sz="0" w:space="0" w:color="auto"/>
        <w:left w:val="none" w:sz="0" w:space="0" w:color="auto"/>
        <w:bottom w:val="none" w:sz="0" w:space="0" w:color="auto"/>
        <w:right w:val="none" w:sz="0" w:space="0" w:color="auto"/>
      </w:divBdr>
    </w:div>
    <w:div w:id="1919747702">
      <w:bodyDiv w:val="1"/>
      <w:marLeft w:val="0"/>
      <w:marRight w:val="0"/>
      <w:marTop w:val="0"/>
      <w:marBottom w:val="0"/>
      <w:divBdr>
        <w:top w:val="none" w:sz="0" w:space="0" w:color="auto"/>
        <w:left w:val="none" w:sz="0" w:space="0" w:color="auto"/>
        <w:bottom w:val="none" w:sz="0" w:space="0" w:color="auto"/>
        <w:right w:val="none" w:sz="0" w:space="0" w:color="auto"/>
      </w:divBdr>
    </w:div>
    <w:div w:id="1921478313">
      <w:bodyDiv w:val="1"/>
      <w:marLeft w:val="0"/>
      <w:marRight w:val="0"/>
      <w:marTop w:val="0"/>
      <w:marBottom w:val="0"/>
      <w:divBdr>
        <w:top w:val="none" w:sz="0" w:space="0" w:color="auto"/>
        <w:left w:val="none" w:sz="0" w:space="0" w:color="auto"/>
        <w:bottom w:val="none" w:sz="0" w:space="0" w:color="auto"/>
        <w:right w:val="none" w:sz="0" w:space="0" w:color="auto"/>
      </w:divBdr>
    </w:div>
    <w:div w:id="1921988524">
      <w:bodyDiv w:val="1"/>
      <w:marLeft w:val="0"/>
      <w:marRight w:val="0"/>
      <w:marTop w:val="0"/>
      <w:marBottom w:val="0"/>
      <w:divBdr>
        <w:top w:val="none" w:sz="0" w:space="0" w:color="auto"/>
        <w:left w:val="none" w:sz="0" w:space="0" w:color="auto"/>
        <w:bottom w:val="none" w:sz="0" w:space="0" w:color="auto"/>
        <w:right w:val="none" w:sz="0" w:space="0" w:color="auto"/>
      </w:divBdr>
    </w:div>
    <w:div w:id="1932814452">
      <w:bodyDiv w:val="1"/>
      <w:marLeft w:val="0"/>
      <w:marRight w:val="0"/>
      <w:marTop w:val="0"/>
      <w:marBottom w:val="0"/>
      <w:divBdr>
        <w:top w:val="none" w:sz="0" w:space="0" w:color="auto"/>
        <w:left w:val="none" w:sz="0" w:space="0" w:color="auto"/>
        <w:bottom w:val="none" w:sz="0" w:space="0" w:color="auto"/>
        <w:right w:val="none" w:sz="0" w:space="0" w:color="auto"/>
      </w:divBdr>
    </w:div>
    <w:div w:id="1939480484">
      <w:bodyDiv w:val="1"/>
      <w:marLeft w:val="0"/>
      <w:marRight w:val="0"/>
      <w:marTop w:val="0"/>
      <w:marBottom w:val="0"/>
      <w:divBdr>
        <w:top w:val="none" w:sz="0" w:space="0" w:color="auto"/>
        <w:left w:val="none" w:sz="0" w:space="0" w:color="auto"/>
        <w:bottom w:val="none" w:sz="0" w:space="0" w:color="auto"/>
        <w:right w:val="none" w:sz="0" w:space="0" w:color="auto"/>
      </w:divBdr>
    </w:div>
    <w:div w:id="1948080647">
      <w:bodyDiv w:val="1"/>
      <w:marLeft w:val="0"/>
      <w:marRight w:val="0"/>
      <w:marTop w:val="0"/>
      <w:marBottom w:val="0"/>
      <w:divBdr>
        <w:top w:val="none" w:sz="0" w:space="0" w:color="auto"/>
        <w:left w:val="none" w:sz="0" w:space="0" w:color="auto"/>
        <w:bottom w:val="none" w:sz="0" w:space="0" w:color="auto"/>
        <w:right w:val="none" w:sz="0" w:space="0" w:color="auto"/>
      </w:divBdr>
    </w:div>
    <w:div w:id="1949769715">
      <w:bodyDiv w:val="1"/>
      <w:marLeft w:val="0"/>
      <w:marRight w:val="0"/>
      <w:marTop w:val="0"/>
      <w:marBottom w:val="0"/>
      <w:divBdr>
        <w:top w:val="none" w:sz="0" w:space="0" w:color="auto"/>
        <w:left w:val="none" w:sz="0" w:space="0" w:color="auto"/>
        <w:bottom w:val="none" w:sz="0" w:space="0" w:color="auto"/>
        <w:right w:val="none" w:sz="0" w:space="0" w:color="auto"/>
      </w:divBdr>
    </w:div>
    <w:div w:id="1952741477">
      <w:bodyDiv w:val="1"/>
      <w:marLeft w:val="0"/>
      <w:marRight w:val="0"/>
      <w:marTop w:val="0"/>
      <w:marBottom w:val="0"/>
      <w:divBdr>
        <w:top w:val="none" w:sz="0" w:space="0" w:color="auto"/>
        <w:left w:val="none" w:sz="0" w:space="0" w:color="auto"/>
        <w:bottom w:val="none" w:sz="0" w:space="0" w:color="auto"/>
        <w:right w:val="none" w:sz="0" w:space="0" w:color="auto"/>
      </w:divBdr>
    </w:div>
    <w:div w:id="1953240062">
      <w:bodyDiv w:val="1"/>
      <w:marLeft w:val="0"/>
      <w:marRight w:val="0"/>
      <w:marTop w:val="0"/>
      <w:marBottom w:val="0"/>
      <w:divBdr>
        <w:top w:val="none" w:sz="0" w:space="0" w:color="auto"/>
        <w:left w:val="none" w:sz="0" w:space="0" w:color="auto"/>
        <w:bottom w:val="none" w:sz="0" w:space="0" w:color="auto"/>
        <w:right w:val="none" w:sz="0" w:space="0" w:color="auto"/>
      </w:divBdr>
      <w:divsChild>
        <w:div w:id="1360279487">
          <w:marLeft w:val="1699"/>
          <w:marRight w:val="0"/>
          <w:marTop w:val="120"/>
          <w:marBottom w:val="0"/>
          <w:divBdr>
            <w:top w:val="none" w:sz="0" w:space="0" w:color="auto"/>
            <w:left w:val="none" w:sz="0" w:space="0" w:color="auto"/>
            <w:bottom w:val="none" w:sz="0" w:space="0" w:color="auto"/>
            <w:right w:val="none" w:sz="0" w:space="0" w:color="auto"/>
          </w:divBdr>
        </w:div>
        <w:div w:id="717971712">
          <w:marLeft w:val="1699"/>
          <w:marRight w:val="0"/>
          <w:marTop w:val="120"/>
          <w:marBottom w:val="0"/>
          <w:divBdr>
            <w:top w:val="none" w:sz="0" w:space="0" w:color="auto"/>
            <w:left w:val="none" w:sz="0" w:space="0" w:color="auto"/>
            <w:bottom w:val="none" w:sz="0" w:space="0" w:color="auto"/>
            <w:right w:val="none" w:sz="0" w:space="0" w:color="auto"/>
          </w:divBdr>
        </w:div>
        <w:div w:id="1475364909">
          <w:marLeft w:val="1699"/>
          <w:marRight w:val="0"/>
          <w:marTop w:val="120"/>
          <w:marBottom w:val="0"/>
          <w:divBdr>
            <w:top w:val="none" w:sz="0" w:space="0" w:color="auto"/>
            <w:left w:val="none" w:sz="0" w:space="0" w:color="auto"/>
            <w:bottom w:val="none" w:sz="0" w:space="0" w:color="auto"/>
            <w:right w:val="none" w:sz="0" w:space="0" w:color="auto"/>
          </w:divBdr>
        </w:div>
      </w:divsChild>
    </w:div>
    <w:div w:id="1956138435">
      <w:bodyDiv w:val="1"/>
      <w:marLeft w:val="0"/>
      <w:marRight w:val="0"/>
      <w:marTop w:val="0"/>
      <w:marBottom w:val="0"/>
      <w:divBdr>
        <w:top w:val="none" w:sz="0" w:space="0" w:color="auto"/>
        <w:left w:val="none" w:sz="0" w:space="0" w:color="auto"/>
        <w:bottom w:val="none" w:sz="0" w:space="0" w:color="auto"/>
        <w:right w:val="none" w:sz="0" w:space="0" w:color="auto"/>
      </w:divBdr>
      <w:divsChild>
        <w:div w:id="1632512796">
          <w:marLeft w:val="2520"/>
          <w:marRight w:val="0"/>
          <w:marTop w:val="67"/>
          <w:marBottom w:val="0"/>
          <w:divBdr>
            <w:top w:val="none" w:sz="0" w:space="0" w:color="auto"/>
            <w:left w:val="none" w:sz="0" w:space="0" w:color="auto"/>
            <w:bottom w:val="none" w:sz="0" w:space="0" w:color="auto"/>
            <w:right w:val="none" w:sz="0" w:space="0" w:color="auto"/>
          </w:divBdr>
        </w:div>
      </w:divsChild>
    </w:div>
    <w:div w:id="1964798329">
      <w:bodyDiv w:val="1"/>
      <w:marLeft w:val="0"/>
      <w:marRight w:val="0"/>
      <w:marTop w:val="0"/>
      <w:marBottom w:val="0"/>
      <w:divBdr>
        <w:top w:val="none" w:sz="0" w:space="0" w:color="auto"/>
        <w:left w:val="none" w:sz="0" w:space="0" w:color="auto"/>
        <w:bottom w:val="none" w:sz="0" w:space="0" w:color="auto"/>
        <w:right w:val="none" w:sz="0" w:space="0" w:color="auto"/>
      </w:divBdr>
    </w:div>
    <w:div w:id="1979258441">
      <w:bodyDiv w:val="1"/>
      <w:marLeft w:val="0"/>
      <w:marRight w:val="0"/>
      <w:marTop w:val="0"/>
      <w:marBottom w:val="0"/>
      <w:divBdr>
        <w:top w:val="none" w:sz="0" w:space="0" w:color="auto"/>
        <w:left w:val="none" w:sz="0" w:space="0" w:color="auto"/>
        <w:bottom w:val="none" w:sz="0" w:space="0" w:color="auto"/>
        <w:right w:val="none" w:sz="0" w:space="0" w:color="auto"/>
      </w:divBdr>
    </w:div>
    <w:div w:id="2009675423">
      <w:bodyDiv w:val="1"/>
      <w:marLeft w:val="0"/>
      <w:marRight w:val="0"/>
      <w:marTop w:val="0"/>
      <w:marBottom w:val="0"/>
      <w:divBdr>
        <w:top w:val="none" w:sz="0" w:space="0" w:color="auto"/>
        <w:left w:val="none" w:sz="0" w:space="0" w:color="auto"/>
        <w:bottom w:val="none" w:sz="0" w:space="0" w:color="auto"/>
        <w:right w:val="none" w:sz="0" w:space="0" w:color="auto"/>
      </w:divBdr>
    </w:div>
    <w:div w:id="2017610701">
      <w:bodyDiv w:val="1"/>
      <w:marLeft w:val="0"/>
      <w:marRight w:val="0"/>
      <w:marTop w:val="0"/>
      <w:marBottom w:val="0"/>
      <w:divBdr>
        <w:top w:val="none" w:sz="0" w:space="0" w:color="auto"/>
        <w:left w:val="none" w:sz="0" w:space="0" w:color="auto"/>
        <w:bottom w:val="none" w:sz="0" w:space="0" w:color="auto"/>
        <w:right w:val="none" w:sz="0" w:space="0" w:color="auto"/>
      </w:divBdr>
    </w:div>
    <w:div w:id="2022120433">
      <w:bodyDiv w:val="1"/>
      <w:marLeft w:val="0"/>
      <w:marRight w:val="0"/>
      <w:marTop w:val="0"/>
      <w:marBottom w:val="0"/>
      <w:divBdr>
        <w:top w:val="none" w:sz="0" w:space="0" w:color="auto"/>
        <w:left w:val="none" w:sz="0" w:space="0" w:color="auto"/>
        <w:bottom w:val="none" w:sz="0" w:space="0" w:color="auto"/>
        <w:right w:val="none" w:sz="0" w:space="0" w:color="auto"/>
      </w:divBdr>
    </w:div>
    <w:div w:id="2026054448">
      <w:bodyDiv w:val="1"/>
      <w:marLeft w:val="0"/>
      <w:marRight w:val="0"/>
      <w:marTop w:val="0"/>
      <w:marBottom w:val="0"/>
      <w:divBdr>
        <w:top w:val="none" w:sz="0" w:space="0" w:color="auto"/>
        <w:left w:val="none" w:sz="0" w:space="0" w:color="auto"/>
        <w:bottom w:val="none" w:sz="0" w:space="0" w:color="auto"/>
        <w:right w:val="none" w:sz="0" w:space="0" w:color="auto"/>
      </w:divBdr>
    </w:div>
    <w:div w:id="2036494761">
      <w:bodyDiv w:val="1"/>
      <w:marLeft w:val="0"/>
      <w:marRight w:val="0"/>
      <w:marTop w:val="0"/>
      <w:marBottom w:val="0"/>
      <w:divBdr>
        <w:top w:val="none" w:sz="0" w:space="0" w:color="auto"/>
        <w:left w:val="none" w:sz="0" w:space="0" w:color="auto"/>
        <w:bottom w:val="none" w:sz="0" w:space="0" w:color="auto"/>
        <w:right w:val="none" w:sz="0" w:space="0" w:color="auto"/>
      </w:divBdr>
    </w:div>
    <w:div w:id="2044212876">
      <w:bodyDiv w:val="1"/>
      <w:marLeft w:val="0"/>
      <w:marRight w:val="0"/>
      <w:marTop w:val="0"/>
      <w:marBottom w:val="0"/>
      <w:divBdr>
        <w:top w:val="none" w:sz="0" w:space="0" w:color="auto"/>
        <w:left w:val="none" w:sz="0" w:space="0" w:color="auto"/>
        <w:bottom w:val="none" w:sz="0" w:space="0" w:color="auto"/>
        <w:right w:val="none" w:sz="0" w:space="0" w:color="auto"/>
      </w:divBdr>
    </w:div>
    <w:div w:id="2050567750">
      <w:bodyDiv w:val="1"/>
      <w:marLeft w:val="0"/>
      <w:marRight w:val="0"/>
      <w:marTop w:val="0"/>
      <w:marBottom w:val="0"/>
      <w:divBdr>
        <w:top w:val="none" w:sz="0" w:space="0" w:color="auto"/>
        <w:left w:val="none" w:sz="0" w:space="0" w:color="auto"/>
        <w:bottom w:val="none" w:sz="0" w:space="0" w:color="auto"/>
        <w:right w:val="none" w:sz="0" w:space="0" w:color="auto"/>
      </w:divBdr>
    </w:div>
    <w:div w:id="2055811935">
      <w:bodyDiv w:val="1"/>
      <w:marLeft w:val="0"/>
      <w:marRight w:val="0"/>
      <w:marTop w:val="0"/>
      <w:marBottom w:val="0"/>
      <w:divBdr>
        <w:top w:val="none" w:sz="0" w:space="0" w:color="auto"/>
        <w:left w:val="none" w:sz="0" w:space="0" w:color="auto"/>
        <w:bottom w:val="none" w:sz="0" w:space="0" w:color="auto"/>
        <w:right w:val="none" w:sz="0" w:space="0" w:color="auto"/>
      </w:divBdr>
    </w:div>
    <w:div w:id="2056352397">
      <w:bodyDiv w:val="1"/>
      <w:marLeft w:val="0"/>
      <w:marRight w:val="0"/>
      <w:marTop w:val="0"/>
      <w:marBottom w:val="0"/>
      <w:divBdr>
        <w:top w:val="none" w:sz="0" w:space="0" w:color="auto"/>
        <w:left w:val="none" w:sz="0" w:space="0" w:color="auto"/>
        <w:bottom w:val="none" w:sz="0" w:space="0" w:color="auto"/>
        <w:right w:val="none" w:sz="0" w:space="0" w:color="auto"/>
      </w:divBdr>
    </w:div>
    <w:div w:id="2062516025">
      <w:bodyDiv w:val="1"/>
      <w:marLeft w:val="0"/>
      <w:marRight w:val="0"/>
      <w:marTop w:val="0"/>
      <w:marBottom w:val="0"/>
      <w:divBdr>
        <w:top w:val="none" w:sz="0" w:space="0" w:color="auto"/>
        <w:left w:val="none" w:sz="0" w:space="0" w:color="auto"/>
        <w:bottom w:val="none" w:sz="0" w:space="0" w:color="auto"/>
        <w:right w:val="none" w:sz="0" w:space="0" w:color="auto"/>
      </w:divBdr>
    </w:div>
    <w:div w:id="2072196832">
      <w:bodyDiv w:val="1"/>
      <w:marLeft w:val="0"/>
      <w:marRight w:val="0"/>
      <w:marTop w:val="0"/>
      <w:marBottom w:val="0"/>
      <w:divBdr>
        <w:top w:val="none" w:sz="0" w:space="0" w:color="auto"/>
        <w:left w:val="none" w:sz="0" w:space="0" w:color="auto"/>
        <w:bottom w:val="none" w:sz="0" w:space="0" w:color="auto"/>
        <w:right w:val="none" w:sz="0" w:space="0" w:color="auto"/>
      </w:divBdr>
    </w:div>
    <w:div w:id="2088919472">
      <w:bodyDiv w:val="1"/>
      <w:marLeft w:val="0"/>
      <w:marRight w:val="0"/>
      <w:marTop w:val="0"/>
      <w:marBottom w:val="0"/>
      <w:divBdr>
        <w:top w:val="none" w:sz="0" w:space="0" w:color="auto"/>
        <w:left w:val="none" w:sz="0" w:space="0" w:color="auto"/>
        <w:bottom w:val="none" w:sz="0" w:space="0" w:color="auto"/>
        <w:right w:val="none" w:sz="0" w:space="0" w:color="auto"/>
      </w:divBdr>
    </w:div>
    <w:div w:id="2098818021">
      <w:bodyDiv w:val="1"/>
      <w:marLeft w:val="0"/>
      <w:marRight w:val="0"/>
      <w:marTop w:val="0"/>
      <w:marBottom w:val="0"/>
      <w:divBdr>
        <w:top w:val="none" w:sz="0" w:space="0" w:color="auto"/>
        <w:left w:val="none" w:sz="0" w:space="0" w:color="auto"/>
        <w:bottom w:val="none" w:sz="0" w:space="0" w:color="auto"/>
        <w:right w:val="none" w:sz="0" w:space="0" w:color="auto"/>
      </w:divBdr>
      <w:divsChild>
        <w:div w:id="1058086444">
          <w:marLeft w:val="547"/>
          <w:marRight w:val="72"/>
          <w:marTop w:val="0"/>
          <w:marBottom w:val="0"/>
          <w:divBdr>
            <w:top w:val="none" w:sz="0" w:space="0" w:color="auto"/>
            <w:left w:val="none" w:sz="0" w:space="0" w:color="auto"/>
            <w:bottom w:val="none" w:sz="0" w:space="0" w:color="auto"/>
            <w:right w:val="none" w:sz="0" w:space="0" w:color="auto"/>
          </w:divBdr>
        </w:div>
      </w:divsChild>
    </w:div>
    <w:div w:id="2114131412">
      <w:bodyDiv w:val="1"/>
      <w:marLeft w:val="0"/>
      <w:marRight w:val="0"/>
      <w:marTop w:val="0"/>
      <w:marBottom w:val="0"/>
      <w:divBdr>
        <w:top w:val="none" w:sz="0" w:space="0" w:color="auto"/>
        <w:left w:val="none" w:sz="0" w:space="0" w:color="auto"/>
        <w:bottom w:val="none" w:sz="0" w:space="0" w:color="auto"/>
        <w:right w:val="none" w:sz="0" w:space="0" w:color="auto"/>
      </w:divBdr>
    </w:div>
    <w:div w:id="2138721411">
      <w:bodyDiv w:val="1"/>
      <w:marLeft w:val="0"/>
      <w:marRight w:val="0"/>
      <w:marTop w:val="0"/>
      <w:marBottom w:val="0"/>
      <w:divBdr>
        <w:top w:val="none" w:sz="0" w:space="0" w:color="auto"/>
        <w:left w:val="none" w:sz="0" w:space="0" w:color="auto"/>
        <w:bottom w:val="none" w:sz="0" w:space="0" w:color="auto"/>
        <w:right w:val="none" w:sz="0" w:space="0" w:color="auto"/>
      </w:divBdr>
    </w:div>
    <w:div w:id="2139686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90AEB6C-466C-4FAA-9B7B-0D359D2DBE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4194</Words>
  <Characters>23909</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28047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dc:description/>
  <cp:lastModifiedBy/>
  <cp:revision>1</cp:revision>
  <dcterms:created xsi:type="dcterms:W3CDTF">2019-11-08T08:42:00Z</dcterms:created>
  <dcterms:modified xsi:type="dcterms:W3CDTF">2019-11-08T12:43:00Z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